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34E0" w14:textId="77777777" w:rsidR="00AA3B11" w:rsidRPr="003C3292" w:rsidRDefault="00AA3B11" w:rsidP="007D6E38">
      <w:pPr>
        <w:snapToGrid w:val="0"/>
        <w:spacing w:before="120" w:after="120"/>
        <w:jc w:val="center"/>
        <w:rPr>
          <w:rFonts w:ascii="Bookman Old Style" w:hAnsi="Bookman Old Style"/>
        </w:rPr>
      </w:pPr>
      <w:r w:rsidRPr="003C3292">
        <w:rPr>
          <w:rFonts w:ascii="Bookman Old Style" w:hAnsi="Bookman Old Style"/>
        </w:rPr>
        <w:t>DRAFT</w:t>
      </w:r>
    </w:p>
    <w:p w14:paraId="743345B2" w14:textId="77777777" w:rsidR="00AC274D" w:rsidRPr="003C3292" w:rsidRDefault="00AC274D" w:rsidP="007D6E38">
      <w:pPr>
        <w:snapToGrid w:val="0"/>
        <w:spacing w:before="120" w:after="120"/>
        <w:jc w:val="center"/>
        <w:rPr>
          <w:rFonts w:ascii="Bookman Old Style" w:hAnsi="Bookman Old Style"/>
        </w:rPr>
      </w:pPr>
    </w:p>
    <w:p w14:paraId="6E05B313" w14:textId="52DA5A80" w:rsidR="00E82019" w:rsidRPr="003C3292" w:rsidRDefault="00E82019" w:rsidP="007D6E38">
      <w:pPr>
        <w:snapToGrid w:val="0"/>
        <w:spacing w:before="120" w:after="120"/>
        <w:jc w:val="center"/>
        <w:rPr>
          <w:rFonts w:ascii="Bookman Old Style" w:hAnsi="Bookman Old Style"/>
        </w:rPr>
      </w:pPr>
      <w:r w:rsidRPr="003C3292">
        <w:rPr>
          <w:rFonts w:ascii="Bookman Old Style" w:hAnsi="Bookman Old Style"/>
        </w:rPr>
        <w:t xml:space="preserve">MINISTRY OF </w:t>
      </w:r>
      <w:r w:rsidR="009572F5">
        <w:rPr>
          <w:rFonts w:ascii="Bookman Old Style" w:hAnsi="Bookman Old Style"/>
        </w:rPr>
        <w:t>PORTS, SHIPPING, AND WATERWAYS</w:t>
      </w:r>
    </w:p>
    <w:p w14:paraId="6BB3D204" w14:textId="77777777" w:rsidR="00E82019" w:rsidRDefault="00E82019" w:rsidP="007D6E38">
      <w:pPr>
        <w:snapToGrid w:val="0"/>
        <w:spacing w:before="120" w:after="120"/>
        <w:jc w:val="center"/>
        <w:rPr>
          <w:rFonts w:ascii="Bookman Old Style" w:hAnsi="Bookman Old Style"/>
        </w:rPr>
      </w:pPr>
      <w:r w:rsidRPr="003C3292">
        <w:rPr>
          <w:rFonts w:ascii="Bookman Old Style" w:hAnsi="Bookman Old Style"/>
        </w:rPr>
        <w:t>(Shipping Wing)</w:t>
      </w:r>
    </w:p>
    <w:p w14:paraId="6C8CD5DE" w14:textId="74D95CB2" w:rsidR="00E82019" w:rsidRDefault="00E82019" w:rsidP="007D6E38">
      <w:pPr>
        <w:snapToGrid w:val="0"/>
        <w:spacing w:before="120" w:after="120"/>
        <w:jc w:val="center"/>
        <w:rPr>
          <w:rFonts w:ascii="Bookman Old Style" w:hAnsi="Bookman Old Style"/>
        </w:rPr>
      </w:pPr>
      <w:r w:rsidRPr="003C3292">
        <w:rPr>
          <w:rFonts w:ascii="Bookman Old Style" w:hAnsi="Bookman Old Style"/>
        </w:rPr>
        <w:t>New Delhi, the _____________,20</w:t>
      </w:r>
      <w:r w:rsidR="009572F5">
        <w:rPr>
          <w:rFonts w:ascii="Bookman Old Style" w:hAnsi="Bookman Old Style"/>
        </w:rPr>
        <w:t>26</w:t>
      </w:r>
    </w:p>
    <w:p w14:paraId="71F58D92" w14:textId="77777777" w:rsidR="00E82019" w:rsidRPr="003C3292" w:rsidRDefault="00E82019" w:rsidP="007D6E38">
      <w:pPr>
        <w:snapToGrid w:val="0"/>
        <w:spacing w:before="120" w:after="120"/>
        <w:jc w:val="center"/>
        <w:rPr>
          <w:rFonts w:ascii="Bookman Old Style" w:hAnsi="Bookman Old Style"/>
        </w:rPr>
      </w:pPr>
    </w:p>
    <w:p w14:paraId="744517D7" w14:textId="0CC7BCDB" w:rsidR="00AA3B11" w:rsidRPr="00F82539" w:rsidRDefault="00AA3B11" w:rsidP="007D6E38">
      <w:pPr>
        <w:snapToGrid w:val="0"/>
        <w:spacing w:before="120" w:after="120"/>
        <w:jc w:val="center"/>
        <w:rPr>
          <w:rFonts w:ascii="Bookman Old Style" w:hAnsi="Bookman Old Style"/>
          <w:b/>
          <w:bCs/>
          <w:color w:val="FF0000"/>
        </w:rPr>
      </w:pPr>
      <w:r w:rsidRPr="00F82539">
        <w:rPr>
          <w:rFonts w:ascii="Bookman Old Style" w:hAnsi="Bookman Old Style"/>
          <w:b/>
          <w:bCs/>
        </w:rPr>
        <w:t>Merchant</w:t>
      </w:r>
      <w:r w:rsidR="003A61EB" w:rsidRPr="00F82539">
        <w:rPr>
          <w:rFonts w:ascii="Bookman Old Style" w:hAnsi="Bookman Old Style"/>
          <w:b/>
          <w:bCs/>
        </w:rPr>
        <w:t xml:space="preserve"> Shipping (Carriage of Cargo</w:t>
      </w:r>
      <w:r w:rsidR="005A262C" w:rsidRPr="00F82539">
        <w:rPr>
          <w:rFonts w:ascii="Bookman Old Style" w:hAnsi="Bookman Old Style"/>
          <w:b/>
          <w:bCs/>
        </w:rPr>
        <w:t>es and Oil Fuels</w:t>
      </w:r>
      <w:r w:rsidR="003A61EB" w:rsidRPr="00F82539">
        <w:rPr>
          <w:rFonts w:ascii="Bookman Old Style" w:hAnsi="Bookman Old Style"/>
          <w:b/>
          <w:bCs/>
        </w:rPr>
        <w:t xml:space="preserve">) </w:t>
      </w:r>
      <w:r w:rsidR="00C227AE" w:rsidRPr="00F82539">
        <w:rPr>
          <w:rFonts w:ascii="Bookman Old Style" w:hAnsi="Bookman Old Style"/>
          <w:b/>
          <w:bCs/>
        </w:rPr>
        <w:t>R</w:t>
      </w:r>
      <w:r w:rsidRPr="00F82539">
        <w:rPr>
          <w:rFonts w:ascii="Bookman Old Style" w:hAnsi="Bookman Old Style"/>
          <w:b/>
          <w:bCs/>
        </w:rPr>
        <w:t>ules, 20</w:t>
      </w:r>
      <w:r w:rsidR="009572F5" w:rsidRPr="00F82539">
        <w:rPr>
          <w:rFonts w:ascii="Bookman Old Style" w:hAnsi="Bookman Old Style"/>
          <w:b/>
          <w:bCs/>
        </w:rPr>
        <w:t>26</w:t>
      </w:r>
    </w:p>
    <w:p w14:paraId="19B09269" w14:textId="77777777" w:rsidR="00AA3B11" w:rsidRPr="003C3292" w:rsidRDefault="00AA3B11" w:rsidP="007D6E38">
      <w:pPr>
        <w:snapToGrid w:val="0"/>
        <w:spacing w:before="120" w:after="120"/>
        <w:jc w:val="center"/>
        <w:rPr>
          <w:rFonts w:ascii="Bookman Old Style" w:hAnsi="Bookman Old Style"/>
        </w:rPr>
      </w:pPr>
    </w:p>
    <w:p w14:paraId="25ED9100" w14:textId="77777777" w:rsidR="00AA3B11" w:rsidRPr="003C3292" w:rsidRDefault="00AA3B11" w:rsidP="007D6E38">
      <w:pPr>
        <w:snapToGrid w:val="0"/>
        <w:spacing w:before="120" w:after="120"/>
        <w:jc w:val="both"/>
        <w:rPr>
          <w:rFonts w:ascii="Bookman Old Style" w:hAnsi="Bookman Old Style"/>
        </w:rPr>
      </w:pPr>
    </w:p>
    <w:p w14:paraId="25E07216" w14:textId="4D915992" w:rsidR="000F1516" w:rsidRPr="003C3292" w:rsidRDefault="003A61EB" w:rsidP="007D6E38">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rPr>
        <w:tab/>
      </w:r>
      <w:r w:rsidR="00AA3B11" w:rsidRPr="003C3292">
        <w:rPr>
          <w:rFonts w:ascii="Bookman Old Style" w:hAnsi="Bookman Old Style"/>
        </w:rPr>
        <w:t>G.S.R.</w:t>
      </w:r>
      <w:r w:rsidR="000F1516" w:rsidRPr="003C3292">
        <w:rPr>
          <w:rFonts w:ascii="Bookman Old Style" w:hAnsi="Bookman Old Style"/>
        </w:rPr>
        <w:t>-------</w:t>
      </w:r>
      <w:r w:rsidR="00AA3B11" w:rsidRPr="003C3292">
        <w:rPr>
          <w:rFonts w:ascii="Bookman Old Style" w:hAnsi="Bookman Old Style"/>
        </w:rPr>
        <w:t xml:space="preserve"> </w:t>
      </w:r>
      <w:r w:rsidR="000F1516" w:rsidRPr="003C3292">
        <w:rPr>
          <w:rFonts w:ascii="Bookman Old Style" w:hAnsi="Bookman Old Style"/>
        </w:rPr>
        <w:t>(E)</w:t>
      </w:r>
      <w:r w:rsidR="009D4157" w:rsidRPr="003C3292">
        <w:rPr>
          <w:rFonts w:ascii="Bookman Old Style" w:hAnsi="Bookman Old Style"/>
        </w:rPr>
        <w:t>-</w:t>
      </w:r>
      <w:r w:rsidR="00AA3B11" w:rsidRPr="003C3292">
        <w:rPr>
          <w:rFonts w:ascii="Bookman Old Style" w:hAnsi="Bookman Old Style"/>
        </w:rPr>
        <w:t xml:space="preserve">In exercise of the powers conferred by </w:t>
      </w:r>
      <w:r w:rsidR="00DE476D" w:rsidRPr="003C3292">
        <w:rPr>
          <w:rFonts w:ascii="Bookman Old Style" w:hAnsi="Bookman Old Style"/>
        </w:rPr>
        <w:t>Section</w:t>
      </w:r>
      <w:r w:rsidR="009572F5">
        <w:rPr>
          <w:rFonts w:ascii="Bookman Old Style" w:hAnsi="Bookman Old Style"/>
        </w:rPr>
        <w:t xml:space="preserve"> ------</w:t>
      </w:r>
      <w:r w:rsidR="009B2256" w:rsidRPr="003C3292">
        <w:rPr>
          <w:rFonts w:ascii="Bookman Old Style" w:hAnsi="Bookman Old Style"/>
        </w:rPr>
        <w:t xml:space="preserve"> </w:t>
      </w:r>
      <w:r w:rsidR="003264A6" w:rsidRPr="003C3292">
        <w:rPr>
          <w:rFonts w:ascii="Bookman Old Style" w:hAnsi="Bookman Old Style"/>
        </w:rPr>
        <w:t xml:space="preserve"> </w:t>
      </w:r>
      <w:r w:rsidR="00AA3B11" w:rsidRPr="003C3292">
        <w:rPr>
          <w:rFonts w:ascii="Bookman Old Style" w:hAnsi="Bookman Old Style"/>
        </w:rPr>
        <w:t>of Merchant Shipping Act</w:t>
      </w:r>
      <w:r w:rsidR="009722AD" w:rsidRPr="003C3292">
        <w:rPr>
          <w:rFonts w:ascii="Bookman Old Style" w:hAnsi="Bookman Old Style"/>
        </w:rPr>
        <w:t>, 20</w:t>
      </w:r>
      <w:r w:rsidR="009572F5">
        <w:rPr>
          <w:rFonts w:ascii="Bookman Old Style" w:hAnsi="Bookman Old Style"/>
        </w:rPr>
        <w:t>25</w:t>
      </w:r>
      <w:r w:rsidR="00AA3B11" w:rsidRPr="003C3292">
        <w:rPr>
          <w:rFonts w:ascii="Bookman Old Style" w:hAnsi="Bookman Old Style"/>
        </w:rPr>
        <w:t xml:space="preserve"> and in </w:t>
      </w:r>
      <w:r w:rsidR="009722AD" w:rsidRPr="003C3292">
        <w:rPr>
          <w:rFonts w:ascii="Bookman Old Style" w:hAnsi="Bookman Old Style"/>
        </w:rPr>
        <w:t>super</w:t>
      </w:r>
      <w:r w:rsidR="0039711B" w:rsidRPr="003C3292">
        <w:rPr>
          <w:rFonts w:ascii="Bookman Old Style" w:hAnsi="Bookman Old Style"/>
        </w:rPr>
        <w:t>session</w:t>
      </w:r>
      <w:r w:rsidR="00AA3B11" w:rsidRPr="003C3292">
        <w:rPr>
          <w:rFonts w:ascii="Bookman Old Style" w:hAnsi="Bookman Old Style"/>
        </w:rPr>
        <w:t xml:space="preserve"> of the Merchant Shipping (Carriage of Cargo) Rules, 199</w:t>
      </w:r>
      <w:r w:rsidR="00A76803" w:rsidRPr="003C3292">
        <w:rPr>
          <w:rFonts w:ascii="Bookman Old Style" w:hAnsi="Bookman Old Style"/>
        </w:rPr>
        <w:t>5</w:t>
      </w:r>
      <w:r w:rsidR="00AA3B11" w:rsidRPr="003C3292">
        <w:rPr>
          <w:rFonts w:ascii="Bookman Old Style" w:hAnsi="Bookman Old Style"/>
        </w:rPr>
        <w:t>,</w:t>
      </w:r>
      <w:r w:rsidR="000F1516" w:rsidRPr="003C3292">
        <w:rPr>
          <w:rFonts w:ascii="Bookman Old Style" w:hAnsi="Bookman Old Style"/>
          <w:b/>
          <w:bCs/>
        </w:rPr>
        <w:t xml:space="preserve"> </w:t>
      </w:r>
      <w:r w:rsidR="000F1516" w:rsidRPr="003C3292">
        <w:rPr>
          <w:rFonts w:ascii="Bookman Old Style" w:hAnsi="Bookman Old Style"/>
        </w:rPr>
        <w:t>except as respects things done or omitted to be done before such supersession, the Central Government hereby makes the following rules</w:t>
      </w:r>
      <w:r w:rsidR="00EB49AD" w:rsidRPr="003C3292">
        <w:rPr>
          <w:rFonts w:ascii="Bookman Old Style" w:hAnsi="Bookman Old Style"/>
        </w:rPr>
        <w:t xml:space="preserve"> namely</w:t>
      </w:r>
      <w:r w:rsidR="000F1516" w:rsidRPr="003C3292">
        <w:rPr>
          <w:rFonts w:ascii="Bookman Old Style" w:hAnsi="Bookman Old Style"/>
        </w:rPr>
        <w:t>:</w:t>
      </w:r>
    </w:p>
    <w:p w14:paraId="2E857B9A" w14:textId="77777777" w:rsidR="000F1516" w:rsidRPr="003C3292" w:rsidRDefault="000F1516" w:rsidP="007D6E38">
      <w:pPr>
        <w:autoSpaceDE w:val="0"/>
        <w:autoSpaceDN w:val="0"/>
        <w:adjustRightInd w:val="0"/>
        <w:snapToGrid w:val="0"/>
        <w:spacing w:before="120" w:after="120"/>
        <w:jc w:val="both"/>
        <w:rPr>
          <w:rFonts w:ascii="Bookman Old Style" w:hAnsi="Bookman Old Style"/>
          <w:b/>
          <w:bCs/>
          <w:color w:val="000000"/>
        </w:rPr>
      </w:pPr>
    </w:p>
    <w:p w14:paraId="2539DC04" w14:textId="61A1A4F5" w:rsidR="000F1516" w:rsidRDefault="00D25BBF" w:rsidP="007D6E38">
      <w:pPr>
        <w:snapToGrid w:val="0"/>
        <w:spacing w:before="120" w:after="120"/>
        <w:jc w:val="both"/>
        <w:rPr>
          <w:rFonts w:ascii="Bookman Old Style" w:hAnsi="Bookman Old Style"/>
          <w:b/>
        </w:rPr>
      </w:pPr>
      <w:r w:rsidRPr="003C3292">
        <w:rPr>
          <w:rFonts w:ascii="Bookman Old Style" w:hAnsi="Bookman Old Style"/>
          <w:b/>
        </w:rPr>
        <w:t>PART I</w:t>
      </w:r>
      <w:r w:rsidR="00252D0D">
        <w:rPr>
          <w:rFonts w:ascii="Bookman Old Style" w:hAnsi="Bookman Old Style"/>
          <w:b/>
        </w:rPr>
        <w:t xml:space="preserve">: </w:t>
      </w:r>
      <w:r w:rsidR="00034AD7">
        <w:rPr>
          <w:rFonts w:ascii="Bookman Old Style" w:hAnsi="Bookman Old Style"/>
          <w:b/>
        </w:rPr>
        <w:t xml:space="preserve">General Provisions </w:t>
      </w:r>
    </w:p>
    <w:p w14:paraId="34EA9D58" w14:textId="77777777" w:rsidR="00034AD7" w:rsidRPr="00252D0D" w:rsidRDefault="00034AD7" w:rsidP="007D6E38">
      <w:pPr>
        <w:snapToGrid w:val="0"/>
        <w:spacing w:before="120" w:after="120"/>
        <w:jc w:val="both"/>
        <w:rPr>
          <w:rFonts w:ascii="Bookman Old Style" w:hAnsi="Bookman Old Style"/>
          <w:b/>
        </w:rPr>
      </w:pPr>
    </w:p>
    <w:p w14:paraId="4ED9F879" w14:textId="3FCCD830" w:rsidR="00614F20" w:rsidRDefault="00AA3B11" w:rsidP="007D4CF0">
      <w:pPr>
        <w:pStyle w:val="ListParagraph"/>
        <w:numPr>
          <w:ilvl w:val="0"/>
          <w:numId w:val="51"/>
        </w:numPr>
        <w:snapToGrid w:val="0"/>
        <w:spacing w:before="120" w:after="120"/>
        <w:ind w:left="0" w:firstLine="0"/>
        <w:contextualSpacing w:val="0"/>
        <w:jc w:val="both"/>
        <w:rPr>
          <w:rFonts w:ascii="Bookman Old Style" w:hAnsi="Bookman Old Style"/>
          <w:b/>
        </w:rPr>
      </w:pPr>
      <w:r w:rsidRPr="007D4CF0">
        <w:rPr>
          <w:rFonts w:ascii="Bookman Old Style" w:hAnsi="Bookman Old Style"/>
          <w:b/>
        </w:rPr>
        <w:t>Short title, commencement</w:t>
      </w:r>
      <w:r w:rsidR="00B5596B">
        <w:rPr>
          <w:rFonts w:ascii="Bookman Old Style" w:hAnsi="Bookman Old Style"/>
          <w:b/>
        </w:rPr>
        <w:t>:</w:t>
      </w:r>
      <w:r w:rsidR="00010506" w:rsidRPr="007D4CF0">
        <w:rPr>
          <w:rFonts w:ascii="Bookman Old Style" w:hAnsi="Bookman Old Style"/>
          <w:b/>
        </w:rPr>
        <w:t xml:space="preserve"> </w:t>
      </w:r>
    </w:p>
    <w:p w14:paraId="37BA48F7" w14:textId="65A4DB5F" w:rsidR="00AA3B11" w:rsidRPr="007D4CF0" w:rsidRDefault="00B1410C" w:rsidP="00F82539">
      <w:pPr>
        <w:pStyle w:val="ListParagraph"/>
        <w:snapToGrid w:val="0"/>
        <w:spacing w:before="120" w:after="120"/>
        <w:ind w:left="0"/>
        <w:contextualSpacing w:val="0"/>
        <w:jc w:val="both"/>
        <w:rPr>
          <w:rFonts w:ascii="Bookman Old Style" w:hAnsi="Bookman Old Style"/>
          <w:b/>
        </w:rPr>
      </w:pPr>
      <w:r w:rsidRPr="007D4CF0">
        <w:rPr>
          <w:rFonts w:ascii="Bookman Old Style" w:hAnsi="Bookman Old Style"/>
        </w:rPr>
        <w:t>(</w:t>
      </w:r>
      <w:r w:rsidR="00AA3B11" w:rsidRPr="007D4CF0">
        <w:rPr>
          <w:rFonts w:ascii="Bookman Old Style" w:hAnsi="Bookman Old Style"/>
        </w:rPr>
        <w:t>1</w:t>
      </w:r>
      <w:r w:rsidRPr="007D4CF0">
        <w:rPr>
          <w:rFonts w:ascii="Bookman Old Style" w:hAnsi="Bookman Old Style"/>
        </w:rPr>
        <w:t xml:space="preserve">) </w:t>
      </w:r>
      <w:r w:rsidR="00AA3B11" w:rsidRPr="007D4CF0">
        <w:rPr>
          <w:rFonts w:ascii="Bookman Old Style" w:hAnsi="Bookman Old Style"/>
        </w:rPr>
        <w:t xml:space="preserve">These rules may be called Merchant Shipping (Carriage of </w:t>
      </w:r>
      <w:r w:rsidR="0039711B" w:rsidRPr="007D4CF0">
        <w:rPr>
          <w:rFonts w:ascii="Bookman Old Style" w:hAnsi="Bookman Old Style"/>
        </w:rPr>
        <w:t>Cargo</w:t>
      </w:r>
      <w:r w:rsidR="009572F5" w:rsidRPr="007D4CF0">
        <w:rPr>
          <w:rFonts w:ascii="Bookman Old Style" w:hAnsi="Bookman Old Style"/>
        </w:rPr>
        <w:t>es</w:t>
      </w:r>
      <w:r w:rsidR="00614F20">
        <w:rPr>
          <w:rFonts w:ascii="Bookman Old Style" w:hAnsi="Bookman Old Style"/>
        </w:rPr>
        <w:t xml:space="preserve">, </w:t>
      </w:r>
      <w:r w:rsidR="009572F5" w:rsidRPr="007D4CF0">
        <w:rPr>
          <w:rFonts w:ascii="Bookman Old Style" w:hAnsi="Bookman Old Style"/>
        </w:rPr>
        <w:t>and Oil Fuels</w:t>
      </w:r>
      <w:r w:rsidR="0039711B" w:rsidRPr="007D4CF0">
        <w:rPr>
          <w:rFonts w:ascii="Bookman Old Style" w:hAnsi="Bookman Old Style"/>
        </w:rPr>
        <w:t>)</w:t>
      </w:r>
      <w:r w:rsidR="005728AD" w:rsidRPr="007D4CF0">
        <w:rPr>
          <w:rFonts w:ascii="Bookman Old Style" w:hAnsi="Bookman Old Style"/>
        </w:rPr>
        <w:t xml:space="preserve"> </w:t>
      </w:r>
      <w:r w:rsidR="00AA3B11" w:rsidRPr="007D4CF0">
        <w:rPr>
          <w:rFonts w:ascii="Bookman Old Style" w:hAnsi="Bookman Old Style"/>
        </w:rPr>
        <w:t xml:space="preserve">Rules, </w:t>
      </w:r>
      <w:r w:rsidR="005728AD" w:rsidRPr="007D4CF0">
        <w:rPr>
          <w:rFonts w:ascii="Bookman Old Style" w:hAnsi="Bookman Old Style"/>
        </w:rPr>
        <w:t>20</w:t>
      </w:r>
      <w:r w:rsidR="009572F5" w:rsidRPr="007D4CF0">
        <w:rPr>
          <w:rFonts w:ascii="Bookman Old Style" w:hAnsi="Bookman Old Style"/>
        </w:rPr>
        <w:t>26</w:t>
      </w:r>
      <w:r w:rsidRPr="007D4CF0">
        <w:rPr>
          <w:rFonts w:ascii="Bookman Old Style" w:hAnsi="Bookman Old Style"/>
        </w:rPr>
        <w:t>.</w:t>
      </w:r>
    </w:p>
    <w:p w14:paraId="71A1164C" w14:textId="4BE15F30" w:rsidR="00F82539" w:rsidRDefault="00B1410C" w:rsidP="00F82539">
      <w:pPr>
        <w:snapToGrid w:val="0"/>
        <w:spacing w:before="120" w:after="120"/>
        <w:jc w:val="both"/>
        <w:rPr>
          <w:rFonts w:ascii="Bookman Old Style" w:hAnsi="Bookman Old Style"/>
        </w:rPr>
      </w:pPr>
      <w:r w:rsidRPr="003C3292">
        <w:rPr>
          <w:rFonts w:ascii="Bookman Old Style" w:hAnsi="Bookman Old Style"/>
        </w:rPr>
        <w:t>(2</w:t>
      </w:r>
      <w:r w:rsidR="000D2533" w:rsidRPr="003C3292">
        <w:rPr>
          <w:rFonts w:ascii="Bookman Old Style" w:hAnsi="Bookman Old Style"/>
        </w:rPr>
        <w:t xml:space="preserve">) </w:t>
      </w:r>
      <w:r w:rsidRPr="003C3292">
        <w:rPr>
          <w:rFonts w:ascii="Bookman Old Style" w:hAnsi="Bookman Old Style"/>
        </w:rPr>
        <w:t>They</w:t>
      </w:r>
      <w:r w:rsidR="00AA3B11" w:rsidRPr="003C3292">
        <w:rPr>
          <w:rFonts w:ascii="Bookman Old Style" w:hAnsi="Bookman Old Style"/>
        </w:rPr>
        <w:t xml:space="preserve"> shall come into force on the date of their publi</w:t>
      </w:r>
      <w:r w:rsidRPr="003C3292">
        <w:rPr>
          <w:rFonts w:ascii="Bookman Old Style" w:hAnsi="Bookman Old Style"/>
        </w:rPr>
        <w:t>cation in the Official Gazette.</w:t>
      </w:r>
    </w:p>
    <w:p w14:paraId="38D1A399" w14:textId="77777777" w:rsidR="00F82539" w:rsidRPr="003C3292" w:rsidRDefault="00F82539" w:rsidP="00F82539">
      <w:pPr>
        <w:snapToGrid w:val="0"/>
        <w:spacing w:before="120" w:after="120"/>
        <w:jc w:val="both"/>
        <w:rPr>
          <w:rFonts w:ascii="Bookman Old Style" w:hAnsi="Bookman Old Style"/>
        </w:rPr>
      </w:pPr>
    </w:p>
    <w:p w14:paraId="61817A57" w14:textId="2F7D8078" w:rsidR="00472063" w:rsidRPr="00B5596B" w:rsidRDefault="00614F20" w:rsidP="00F82539">
      <w:pPr>
        <w:pStyle w:val="ListParagraph"/>
        <w:numPr>
          <w:ilvl w:val="0"/>
          <w:numId w:val="51"/>
        </w:numPr>
        <w:snapToGrid w:val="0"/>
        <w:spacing w:before="120" w:after="120"/>
        <w:ind w:left="0" w:firstLine="0"/>
        <w:contextualSpacing w:val="0"/>
        <w:jc w:val="both"/>
        <w:rPr>
          <w:rFonts w:ascii="Bookman Old Style" w:hAnsi="Bookman Old Style"/>
          <w:b/>
          <w:bCs/>
        </w:rPr>
      </w:pPr>
      <w:r w:rsidRPr="00614F20">
        <w:rPr>
          <w:rFonts w:ascii="Bookman Old Style" w:hAnsi="Bookman Old Style"/>
          <w:b/>
          <w:bCs/>
        </w:rPr>
        <w:t>Application</w:t>
      </w:r>
      <w:r w:rsidR="00B5596B">
        <w:rPr>
          <w:rFonts w:ascii="Bookman Old Style" w:hAnsi="Bookman Old Style"/>
          <w:b/>
          <w:bCs/>
        </w:rPr>
        <w:t xml:space="preserve">: </w:t>
      </w:r>
      <w:r w:rsidR="00EB49AD" w:rsidRPr="00B5596B">
        <w:rPr>
          <w:rFonts w:ascii="Bookman Old Style" w:hAnsi="Bookman Old Style"/>
        </w:rPr>
        <w:t xml:space="preserve">unless specified otherwise, </w:t>
      </w:r>
      <w:r w:rsidR="00034AD7">
        <w:rPr>
          <w:rFonts w:ascii="Bookman Old Style" w:hAnsi="Bookman Old Style"/>
        </w:rPr>
        <w:t xml:space="preserve">these </w:t>
      </w:r>
      <w:r w:rsidRPr="00B5596B">
        <w:rPr>
          <w:rFonts w:ascii="Bookman Old Style" w:hAnsi="Bookman Old Style"/>
        </w:rPr>
        <w:t xml:space="preserve">Rules </w:t>
      </w:r>
      <w:r w:rsidR="00AA3B11" w:rsidRPr="00B5596B">
        <w:rPr>
          <w:rFonts w:ascii="Bookman Old Style" w:hAnsi="Bookman Old Style"/>
        </w:rPr>
        <w:t xml:space="preserve">shall apply </w:t>
      </w:r>
      <w:r w:rsidR="0039711B" w:rsidRPr="00B5596B">
        <w:rPr>
          <w:rFonts w:ascii="Bookman Old Style" w:hAnsi="Bookman Old Style"/>
        </w:rPr>
        <w:t>to:</w:t>
      </w:r>
    </w:p>
    <w:p w14:paraId="673C66DA" w14:textId="4243AC12" w:rsidR="00034AD7" w:rsidRDefault="00F82539" w:rsidP="00F82539">
      <w:pPr>
        <w:snapToGrid w:val="0"/>
        <w:spacing w:before="120" w:after="120"/>
        <w:jc w:val="both"/>
        <w:rPr>
          <w:rFonts w:ascii="Bookman Old Style" w:hAnsi="Bookman Old Style"/>
        </w:rPr>
      </w:pPr>
      <w:r>
        <w:rPr>
          <w:rFonts w:ascii="Bookman Old Style" w:hAnsi="Bookman Old Style"/>
        </w:rPr>
        <w:t>(</w:t>
      </w:r>
      <w:r w:rsidR="00B5596B">
        <w:rPr>
          <w:rFonts w:ascii="Bookman Old Style" w:hAnsi="Bookman Old Style"/>
        </w:rPr>
        <w:t>1</w:t>
      </w:r>
      <w:r>
        <w:rPr>
          <w:rFonts w:ascii="Bookman Old Style" w:hAnsi="Bookman Old Style"/>
        </w:rPr>
        <w:t xml:space="preserve">) </w:t>
      </w:r>
      <w:r w:rsidR="00AC2B54">
        <w:rPr>
          <w:rFonts w:ascii="Bookman Old Style" w:hAnsi="Bookman Old Style"/>
        </w:rPr>
        <w:t>C</w:t>
      </w:r>
      <w:r w:rsidR="00034AD7">
        <w:rPr>
          <w:rFonts w:ascii="Bookman Old Style" w:hAnsi="Bookman Old Style"/>
        </w:rPr>
        <w:t>arriage of cargoes</w:t>
      </w:r>
      <w:r w:rsidR="00776809">
        <w:rPr>
          <w:rStyle w:val="FootnoteReference"/>
          <w:rFonts w:ascii="Bookman Old Style" w:hAnsi="Bookman Old Style"/>
        </w:rPr>
        <w:footnoteReference w:id="1"/>
      </w:r>
      <w:r w:rsidR="00034AD7">
        <w:rPr>
          <w:rFonts w:ascii="Bookman Old Style" w:hAnsi="Bookman Old Style"/>
        </w:rPr>
        <w:t xml:space="preserve"> (except liquids in bulk, gases in bulk, and those aspects of carriage covered in other Rules) which owing to their </w:t>
      </w:r>
      <w:proofErr w:type="gramStart"/>
      <w:r w:rsidR="00034AD7">
        <w:rPr>
          <w:rFonts w:ascii="Bookman Old Style" w:hAnsi="Bookman Old Style"/>
        </w:rPr>
        <w:t>particular hazards</w:t>
      </w:r>
      <w:proofErr w:type="gramEnd"/>
      <w:r w:rsidR="00034AD7">
        <w:rPr>
          <w:rFonts w:ascii="Bookman Old Style" w:hAnsi="Bookman Old Style"/>
        </w:rPr>
        <w:t xml:space="preserve"> to ships or person on board, require special precautions</w:t>
      </w:r>
      <w:r w:rsidR="00776809">
        <w:rPr>
          <w:rFonts w:ascii="Bookman Old Style" w:hAnsi="Bookman Old Style"/>
        </w:rPr>
        <w:t xml:space="preserve"> to be taken.</w:t>
      </w:r>
    </w:p>
    <w:p w14:paraId="2342ABA1" w14:textId="543CBB89" w:rsidR="00F82539" w:rsidRPr="003C3292" w:rsidRDefault="00034AD7" w:rsidP="00F82539">
      <w:pPr>
        <w:snapToGrid w:val="0"/>
        <w:spacing w:before="120" w:after="120"/>
        <w:jc w:val="both"/>
        <w:rPr>
          <w:rFonts w:ascii="Bookman Old Style" w:hAnsi="Bookman Old Style"/>
        </w:rPr>
      </w:pPr>
      <w:r>
        <w:rPr>
          <w:rFonts w:ascii="Bookman Old Style" w:hAnsi="Bookman Old Style"/>
        </w:rPr>
        <w:t xml:space="preserve">(2) </w:t>
      </w:r>
      <w:r w:rsidR="00AC2B54">
        <w:rPr>
          <w:rFonts w:ascii="Bookman Old Style" w:hAnsi="Bookman Old Style"/>
        </w:rPr>
        <w:t>A</w:t>
      </w:r>
      <w:r w:rsidR="00F82539" w:rsidRPr="003C3292">
        <w:rPr>
          <w:rFonts w:ascii="Bookman Old Style" w:hAnsi="Bookman Old Style"/>
        </w:rPr>
        <w:t>ll Indian ships carrying or about to carry cargoes specified in these rules anywhere; and</w:t>
      </w:r>
    </w:p>
    <w:p w14:paraId="5D892B88" w14:textId="6973C1D3" w:rsidR="00C72A54" w:rsidRDefault="00F82539" w:rsidP="00F82539">
      <w:pPr>
        <w:snapToGrid w:val="0"/>
        <w:spacing w:before="120" w:after="120"/>
        <w:jc w:val="both"/>
        <w:rPr>
          <w:rFonts w:ascii="Bookman Old Style" w:hAnsi="Bookman Old Style"/>
        </w:rPr>
      </w:pPr>
      <w:r>
        <w:rPr>
          <w:rFonts w:ascii="Bookman Old Style" w:hAnsi="Bookman Old Style"/>
        </w:rPr>
        <w:t>(</w:t>
      </w:r>
      <w:r w:rsidR="00034AD7">
        <w:rPr>
          <w:rFonts w:ascii="Bookman Old Style" w:hAnsi="Bookman Old Style"/>
        </w:rPr>
        <w:t>3</w:t>
      </w:r>
      <w:r>
        <w:rPr>
          <w:rFonts w:ascii="Bookman Old Style" w:hAnsi="Bookman Old Style"/>
        </w:rPr>
        <w:t xml:space="preserve">) </w:t>
      </w:r>
      <w:r w:rsidR="00AC2B54">
        <w:rPr>
          <w:rFonts w:ascii="Bookman Old Style" w:hAnsi="Bookman Old Style"/>
        </w:rPr>
        <w:t>A</w:t>
      </w:r>
      <w:r w:rsidRPr="003C3292">
        <w:rPr>
          <w:rFonts w:ascii="Bookman Old Style" w:hAnsi="Bookman Old Style"/>
        </w:rPr>
        <w:t xml:space="preserve">ll ships carrying or about to carry cargoes specified in these rules in port or places in India, </w:t>
      </w:r>
    </w:p>
    <w:p w14:paraId="0C4E959E" w14:textId="77777777" w:rsidR="00F82539" w:rsidRPr="003C3292" w:rsidRDefault="00F82539" w:rsidP="00F82539">
      <w:pPr>
        <w:snapToGrid w:val="0"/>
        <w:spacing w:before="120" w:after="120"/>
        <w:jc w:val="both"/>
        <w:rPr>
          <w:rFonts w:ascii="Bookman Old Style" w:hAnsi="Bookman Old Style"/>
        </w:rPr>
      </w:pPr>
    </w:p>
    <w:p w14:paraId="7257E1E3" w14:textId="6494A460" w:rsidR="00AA3B11" w:rsidRPr="007D4CF0" w:rsidRDefault="006C66DB" w:rsidP="007D4CF0">
      <w:pPr>
        <w:pStyle w:val="ListParagraph"/>
        <w:numPr>
          <w:ilvl w:val="0"/>
          <w:numId w:val="51"/>
        </w:numPr>
        <w:snapToGrid w:val="0"/>
        <w:spacing w:before="120" w:after="120"/>
        <w:ind w:left="0" w:firstLine="0"/>
        <w:contextualSpacing w:val="0"/>
        <w:jc w:val="both"/>
        <w:rPr>
          <w:rFonts w:ascii="Bookman Old Style" w:hAnsi="Bookman Old Style"/>
          <w:b/>
        </w:rPr>
      </w:pPr>
      <w:r w:rsidRPr="007D4CF0">
        <w:rPr>
          <w:rFonts w:ascii="Bookman Old Style" w:hAnsi="Bookman Old Style"/>
          <w:b/>
        </w:rPr>
        <w:t>Exceptions</w:t>
      </w:r>
      <w:r w:rsidR="00B5596B">
        <w:rPr>
          <w:rFonts w:ascii="Bookman Old Style" w:hAnsi="Bookman Old Style"/>
          <w:b/>
        </w:rPr>
        <w:t>:</w:t>
      </w:r>
      <w:r w:rsidR="00010506" w:rsidRPr="007D4CF0">
        <w:rPr>
          <w:rFonts w:ascii="Bookman Old Style" w:hAnsi="Bookman Old Style"/>
          <w:b/>
        </w:rPr>
        <w:t xml:space="preserve"> </w:t>
      </w:r>
      <w:r w:rsidR="00010506" w:rsidRPr="007D4CF0">
        <w:rPr>
          <w:rFonts w:ascii="Bookman Old Style" w:hAnsi="Bookman Old Style"/>
        </w:rPr>
        <w:t>As provisioned</w:t>
      </w:r>
      <w:r w:rsidR="00B3485E" w:rsidRPr="007D4CF0">
        <w:rPr>
          <w:rFonts w:ascii="Bookman Old Style" w:hAnsi="Bookman Old Style"/>
        </w:rPr>
        <w:t xml:space="preserve"> in sub-section (a) of </w:t>
      </w:r>
      <w:r w:rsidR="00B3485E" w:rsidRPr="00B5596B">
        <w:rPr>
          <w:rFonts w:ascii="Bookman Old Style" w:hAnsi="Bookman Old Style"/>
          <w:highlight w:val="yellow"/>
        </w:rPr>
        <w:t xml:space="preserve">Section </w:t>
      </w:r>
      <w:r w:rsidR="00010506" w:rsidRPr="00B5596B">
        <w:rPr>
          <w:rFonts w:ascii="Bookman Old Style" w:hAnsi="Bookman Old Style"/>
          <w:highlight w:val="yellow"/>
        </w:rPr>
        <w:t>11</w:t>
      </w:r>
      <w:r w:rsidR="00502F89" w:rsidRPr="00B5596B">
        <w:rPr>
          <w:rFonts w:ascii="Bookman Old Style" w:hAnsi="Bookman Old Style"/>
          <w:highlight w:val="yellow"/>
        </w:rPr>
        <w:t>4</w:t>
      </w:r>
      <w:r w:rsidR="00010506" w:rsidRPr="00B5596B">
        <w:rPr>
          <w:rFonts w:ascii="Bookman Old Style" w:hAnsi="Bookman Old Style"/>
          <w:highlight w:val="yellow"/>
        </w:rPr>
        <w:t xml:space="preserve"> </w:t>
      </w:r>
      <w:r w:rsidR="00502F89" w:rsidRPr="00B5596B">
        <w:rPr>
          <w:rFonts w:ascii="Bookman Old Style" w:hAnsi="Bookman Old Style"/>
          <w:highlight w:val="yellow"/>
        </w:rPr>
        <w:t>of the Merchant Shipping Act, 2025</w:t>
      </w:r>
      <w:r w:rsidR="00502F89" w:rsidRPr="007D4CF0">
        <w:rPr>
          <w:rFonts w:ascii="Bookman Old Style" w:hAnsi="Bookman Old Style"/>
        </w:rPr>
        <w:t>, a</w:t>
      </w:r>
      <w:r w:rsidR="00010506" w:rsidRPr="007D4CF0">
        <w:rPr>
          <w:rFonts w:ascii="Bookman Old Style" w:hAnsi="Bookman Old Style"/>
        </w:rPr>
        <w:t>nd</w:t>
      </w:r>
      <w:r w:rsidRPr="007D4CF0">
        <w:rPr>
          <w:rFonts w:ascii="Bookman Old Style" w:hAnsi="Bookman Old Style"/>
        </w:rPr>
        <w:t xml:space="preserve"> unless otherwise specified, these rules shall not apply to the following:</w:t>
      </w:r>
    </w:p>
    <w:p w14:paraId="3081A75E" w14:textId="57ACEF75" w:rsidR="00472063" w:rsidRPr="003C3292" w:rsidRDefault="00034AD7" w:rsidP="00034AD7">
      <w:pPr>
        <w:snapToGrid w:val="0"/>
        <w:spacing w:before="120" w:after="120"/>
        <w:jc w:val="both"/>
        <w:rPr>
          <w:rFonts w:ascii="Bookman Old Style" w:hAnsi="Bookman Old Style"/>
        </w:rPr>
      </w:pPr>
      <w:r>
        <w:rPr>
          <w:rFonts w:ascii="Bookman Old Style" w:hAnsi="Bookman Old Style"/>
        </w:rPr>
        <w:lastRenderedPageBreak/>
        <w:t xml:space="preserve">(1) </w:t>
      </w:r>
      <w:r w:rsidR="00AC2B54">
        <w:rPr>
          <w:rFonts w:ascii="Bookman Old Style" w:hAnsi="Bookman Old Style"/>
        </w:rPr>
        <w:t>S</w:t>
      </w:r>
      <w:r w:rsidR="00010506" w:rsidRPr="003C3292">
        <w:rPr>
          <w:rFonts w:ascii="Bookman Old Style" w:hAnsi="Bookman Old Style"/>
        </w:rPr>
        <w:t xml:space="preserve">hip's stores and </w:t>
      </w:r>
      <w:r w:rsidR="00890B71" w:rsidRPr="003C3292">
        <w:rPr>
          <w:rFonts w:ascii="Bookman Old Style" w:hAnsi="Bookman Old Style"/>
        </w:rPr>
        <w:t>security equipment as permitted by the C</w:t>
      </w:r>
      <w:r w:rsidR="009B2256" w:rsidRPr="003C3292">
        <w:rPr>
          <w:rFonts w:ascii="Bookman Old Style" w:hAnsi="Bookman Old Style"/>
        </w:rPr>
        <w:t>entral Government</w:t>
      </w:r>
      <w:r w:rsidR="00890B71" w:rsidRPr="003C3292">
        <w:rPr>
          <w:rFonts w:ascii="Bookman Old Style" w:hAnsi="Bookman Old Style"/>
        </w:rPr>
        <w:t xml:space="preserve"> for use of security personnel, </w:t>
      </w:r>
      <w:r w:rsidR="00C744CC" w:rsidRPr="003C3292">
        <w:rPr>
          <w:rFonts w:ascii="Bookman Old Style" w:hAnsi="Bookman Old Style"/>
        </w:rPr>
        <w:t>in limited quantities; and</w:t>
      </w:r>
      <w:r w:rsidR="009B2256" w:rsidRPr="003C3292">
        <w:rPr>
          <w:rFonts w:ascii="Bookman Old Style" w:hAnsi="Bookman Old Style"/>
        </w:rPr>
        <w:t xml:space="preserve"> </w:t>
      </w:r>
    </w:p>
    <w:p w14:paraId="78FE9C2F" w14:textId="11CF1FCF" w:rsidR="00472063" w:rsidRPr="003C3292" w:rsidRDefault="00034AD7" w:rsidP="00034AD7">
      <w:pPr>
        <w:snapToGrid w:val="0"/>
        <w:spacing w:before="120" w:after="120"/>
        <w:jc w:val="both"/>
        <w:rPr>
          <w:rFonts w:ascii="Bookman Old Style" w:hAnsi="Bookman Old Style"/>
        </w:rPr>
      </w:pPr>
      <w:r>
        <w:rPr>
          <w:rFonts w:ascii="Bookman Old Style" w:hAnsi="Bookman Old Style"/>
        </w:rPr>
        <w:t xml:space="preserve">(2) </w:t>
      </w:r>
      <w:r w:rsidR="00AC2B54">
        <w:rPr>
          <w:rFonts w:ascii="Bookman Old Style" w:hAnsi="Bookman Old Style"/>
        </w:rPr>
        <w:t>S</w:t>
      </w:r>
      <w:r w:rsidR="00425D4F" w:rsidRPr="003C3292">
        <w:rPr>
          <w:rFonts w:ascii="Bookman Old Style" w:hAnsi="Bookman Old Style"/>
        </w:rPr>
        <w:t>hip’s</w:t>
      </w:r>
      <w:r w:rsidR="00AF1206" w:rsidRPr="003C3292">
        <w:rPr>
          <w:rFonts w:ascii="Bookman Old Style" w:hAnsi="Bookman Old Style"/>
        </w:rPr>
        <w:t xml:space="preserve"> salvage equipment for the purpo</w:t>
      </w:r>
      <w:r w:rsidR="00C744CC" w:rsidRPr="003C3292">
        <w:rPr>
          <w:rFonts w:ascii="Bookman Old Style" w:hAnsi="Bookman Old Style"/>
        </w:rPr>
        <w:t>se of salvage services; and</w:t>
      </w:r>
    </w:p>
    <w:p w14:paraId="5ABAAB83" w14:textId="46A48264" w:rsidR="0043170E" w:rsidRPr="003C3292" w:rsidRDefault="00034AD7" w:rsidP="00034AD7">
      <w:pPr>
        <w:snapToGrid w:val="0"/>
        <w:spacing w:before="120" w:after="120"/>
        <w:jc w:val="both"/>
        <w:rPr>
          <w:rFonts w:ascii="Bookman Old Style" w:hAnsi="Bookman Old Style"/>
        </w:rPr>
      </w:pPr>
      <w:r>
        <w:rPr>
          <w:rFonts w:ascii="Bookman Old Style" w:hAnsi="Bookman Old Style"/>
        </w:rPr>
        <w:t xml:space="preserve">(3) </w:t>
      </w:r>
      <w:r w:rsidR="0043170E" w:rsidRPr="003C3292">
        <w:rPr>
          <w:rFonts w:ascii="Bookman Old Style" w:hAnsi="Bookman Old Style"/>
        </w:rPr>
        <w:t xml:space="preserve">Indian ships of below 500GT, provided </w:t>
      </w:r>
      <w:r w:rsidR="00C744CC" w:rsidRPr="003C3292">
        <w:rPr>
          <w:rFonts w:ascii="Bookman Old Style" w:hAnsi="Bookman Old Style"/>
        </w:rPr>
        <w:t xml:space="preserve">competent </w:t>
      </w:r>
      <w:r w:rsidR="00EA6663">
        <w:rPr>
          <w:rFonts w:ascii="Bookman Old Style" w:hAnsi="Bookman Old Style"/>
        </w:rPr>
        <w:t>authority</w:t>
      </w:r>
      <w:r w:rsidR="00C744CC" w:rsidRPr="003C3292">
        <w:rPr>
          <w:rFonts w:ascii="Bookman Old Style" w:hAnsi="Bookman Old Style"/>
        </w:rPr>
        <w:t xml:space="preserve"> </w:t>
      </w:r>
      <w:r w:rsidR="0043170E" w:rsidRPr="003C3292">
        <w:rPr>
          <w:rFonts w:ascii="Bookman Old Style" w:hAnsi="Bookman Old Style"/>
        </w:rPr>
        <w:t>by notification or by specific or general order or notice or circular in writing may decide to</w:t>
      </w:r>
      <w:r w:rsidR="004467C9" w:rsidRPr="003C3292">
        <w:rPr>
          <w:rFonts w:ascii="Bookman Old Style" w:hAnsi="Bookman Old Style"/>
        </w:rPr>
        <w:t xml:space="preserve"> the extend</w:t>
      </w:r>
      <w:r w:rsidR="0043170E" w:rsidRPr="003C3292">
        <w:rPr>
          <w:rFonts w:ascii="Bookman Old Style" w:hAnsi="Bookman Old Style"/>
        </w:rPr>
        <w:t xml:space="preserve"> or permit other effective measures to ensure reasonable and equivalent safety of </w:t>
      </w:r>
      <w:r w:rsidR="003B0066" w:rsidRPr="003C3292">
        <w:rPr>
          <w:rFonts w:ascii="Bookman Old Style" w:hAnsi="Bookman Old Style"/>
        </w:rPr>
        <w:t xml:space="preserve">such </w:t>
      </w:r>
      <w:r w:rsidR="0043170E" w:rsidRPr="003C3292">
        <w:rPr>
          <w:rFonts w:ascii="Bookman Old Style" w:hAnsi="Bookman Old Style"/>
        </w:rPr>
        <w:t>ships</w:t>
      </w:r>
      <w:r w:rsidR="003B0066" w:rsidRPr="003C3292">
        <w:rPr>
          <w:rFonts w:ascii="Bookman Old Style" w:hAnsi="Bookman Old Style"/>
        </w:rPr>
        <w:t xml:space="preserve"> </w:t>
      </w:r>
      <w:proofErr w:type="gramStart"/>
      <w:r w:rsidR="003B0066" w:rsidRPr="003C3292">
        <w:rPr>
          <w:rFonts w:ascii="Bookman Old Style" w:hAnsi="Bookman Old Style"/>
        </w:rPr>
        <w:t>taking into account</w:t>
      </w:r>
      <w:proofErr w:type="gramEnd"/>
      <w:r w:rsidR="003B0066" w:rsidRPr="003C3292">
        <w:rPr>
          <w:rFonts w:ascii="Bookman Old Style" w:hAnsi="Bookman Old Style"/>
        </w:rPr>
        <w:t xml:space="preserve"> the nature and conditions of sheltered voyage.</w:t>
      </w:r>
    </w:p>
    <w:p w14:paraId="4652A4C5" w14:textId="77777777" w:rsidR="005D6160" w:rsidRPr="003C3292" w:rsidRDefault="003B0066" w:rsidP="007D6E38">
      <w:pPr>
        <w:snapToGrid w:val="0"/>
        <w:spacing w:before="120" w:after="120"/>
        <w:ind w:left="720"/>
        <w:jc w:val="both"/>
        <w:rPr>
          <w:rFonts w:ascii="Bookman Old Style" w:hAnsi="Bookman Old Style"/>
        </w:rPr>
      </w:pPr>
      <w:r w:rsidRPr="003C3292">
        <w:rPr>
          <w:rFonts w:ascii="Bookman Old Style" w:hAnsi="Bookman Old Style"/>
        </w:rPr>
        <w:t xml:space="preserve"> </w:t>
      </w:r>
    </w:p>
    <w:p w14:paraId="763D6BCD" w14:textId="2FAD8566" w:rsidR="004F7A9A" w:rsidRPr="00B5596B" w:rsidRDefault="00AA3B11" w:rsidP="007D6E38">
      <w:pPr>
        <w:pStyle w:val="ListParagraph"/>
        <w:numPr>
          <w:ilvl w:val="0"/>
          <w:numId w:val="51"/>
        </w:numPr>
        <w:snapToGrid w:val="0"/>
        <w:spacing w:before="120" w:after="120"/>
        <w:ind w:left="0" w:firstLine="0"/>
        <w:contextualSpacing w:val="0"/>
        <w:jc w:val="both"/>
        <w:rPr>
          <w:rFonts w:ascii="Bookman Old Style" w:hAnsi="Bookman Old Style"/>
          <w:b/>
          <w:bCs/>
        </w:rPr>
      </w:pPr>
      <w:r w:rsidRPr="007D4CF0">
        <w:rPr>
          <w:rFonts w:ascii="Bookman Old Style" w:hAnsi="Bookman Old Style"/>
          <w:b/>
          <w:bCs/>
        </w:rPr>
        <w:t>Definition</w:t>
      </w:r>
      <w:r w:rsidR="00B5596B">
        <w:rPr>
          <w:rFonts w:ascii="Bookman Old Style" w:hAnsi="Bookman Old Style"/>
          <w:b/>
          <w:bCs/>
        </w:rPr>
        <w:t xml:space="preserve">: </w:t>
      </w:r>
      <w:r w:rsidRPr="00B5596B">
        <w:rPr>
          <w:rFonts w:ascii="Bookman Old Style" w:hAnsi="Bookman Old Style"/>
        </w:rPr>
        <w:t xml:space="preserve">In these rules, unless the context otherwise </w:t>
      </w:r>
      <w:r w:rsidR="00F64ABE" w:rsidRPr="00B5596B">
        <w:rPr>
          <w:rFonts w:ascii="Bookman Old Style" w:hAnsi="Bookman Old Style"/>
        </w:rPr>
        <w:t>requires:</w:t>
      </w:r>
      <w:r w:rsidRPr="00B5596B">
        <w:rPr>
          <w:rFonts w:ascii="Bookman Old Style" w:hAnsi="Bookman Old Style"/>
        </w:rPr>
        <w:t> </w:t>
      </w:r>
    </w:p>
    <w:p w14:paraId="2D5D9D4C" w14:textId="56678BA7" w:rsidR="00AA3B11" w:rsidRPr="003C3292" w:rsidRDefault="00AA3B11" w:rsidP="007D6E38">
      <w:pPr>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1</w:t>
      </w:r>
      <w:r w:rsidRPr="003C3292">
        <w:rPr>
          <w:rFonts w:ascii="Bookman Old Style" w:hAnsi="Bookman Old Style"/>
        </w:rPr>
        <w:t>)</w:t>
      </w:r>
      <w:r w:rsidR="00DD17E1" w:rsidRPr="003C3292">
        <w:rPr>
          <w:rFonts w:ascii="Bookman Old Style" w:hAnsi="Bookman Old Style"/>
        </w:rPr>
        <w:t xml:space="preserve"> </w:t>
      </w:r>
      <w:r w:rsidRPr="003C3292">
        <w:rPr>
          <w:rFonts w:ascii="Bookman Old Style" w:hAnsi="Bookman Old Style"/>
        </w:rPr>
        <w:t>"Act" means the Merchant Sh</w:t>
      </w:r>
      <w:r w:rsidR="00F64ABE" w:rsidRPr="003C3292">
        <w:rPr>
          <w:rFonts w:ascii="Bookman Old Style" w:hAnsi="Bookman Old Style"/>
        </w:rPr>
        <w:t xml:space="preserve">ipping Act, </w:t>
      </w:r>
      <w:r w:rsidR="00B34159" w:rsidRPr="003C3292">
        <w:rPr>
          <w:rFonts w:ascii="Bookman Old Style" w:hAnsi="Bookman Old Style"/>
        </w:rPr>
        <w:t>20</w:t>
      </w:r>
      <w:r w:rsidR="00E63AAD">
        <w:rPr>
          <w:rFonts w:ascii="Bookman Old Style" w:hAnsi="Bookman Old Style"/>
        </w:rPr>
        <w:t>25</w:t>
      </w:r>
      <w:r w:rsidR="00415429">
        <w:rPr>
          <w:rFonts w:ascii="Bookman Old Style" w:hAnsi="Bookman Old Style"/>
        </w:rPr>
        <w:t>.</w:t>
      </w:r>
    </w:p>
    <w:p w14:paraId="7B682FD1" w14:textId="47B61A4C" w:rsidR="005122B1" w:rsidRPr="003C3292" w:rsidRDefault="00034AB9" w:rsidP="007D6E38">
      <w:pPr>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2</w:t>
      </w:r>
      <w:r w:rsidRPr="003C3292">
        <w:rPr>
          <w:rFonts w:ascii="Bookman Old Style" w:hAnsi="Bookman Old Style"/>
        </w:rPr>
        <w:t xml:space="preserve">)  </w:t>
      </w:r>
      <w:r w:rsidR="005122B1" w:rsidRPr="003C3292">
        <w:rPr>
          <w:rFonts w:ascii="Bookman Old Style" w:hAnsi="Bookman Old Style"/>
        </w:rPr>
        <w:t>The term</w:t>
      </w:r>
      <w:r w:rsidR="000F38FE" w:rsidRPr="003C3292">
        <w:rPr>
          <w:rFonts w:ascii="Bookman Old Style" w:hAnsi="Bookman Old Style"/>
        </w:rPr>
        <w:t xml:space="preserve">s </w:t>
      </w:r>
      <w:r w:rsidR="005122B1" w:rsidRPr="003C3292">
        <w:rPr>
          <w:rFonts w:ascii="Bookman Old Style" w:hAnsi="Bookman Old Style"/>
        </w:rPr>
        <w:t>"Administration"</w:t>
      </w:r>
      <w:r w:rsidR="000F38FE" w:rsidRPr="003C3292">
        <w:rPr>
          <w:rFonts w:ascii="Bookman Old Style" w:hAnsi="Bookman Old Style"/>
        </w:rPr>
        <w:t xml:space="preserve"> or "Contracting Government"</w:t>
      </w:r>
      <w:r w:rsidR="005122B1" w:rsidRPr="003C3292">
        <w:rPr>
          <w:rFonts w:ascii="Bookman Old Style" w:hAnsi="Bookman Old Style"/>
        </w:rPr>
        <w:t xml:space="preserve"> when used in International Conventions or Codes adopted by the International Maritime Organization, </w:t>
      </w:r>
      <w:r w:rsidR="000F38FE" w:rsidRPr="003C3292">
        <w:rPr>
          <w:rFonts w:ascii="Bookman Old Style" w:hAnsi="Bookman Old Style"/>
        </w:rPr>
        <w:t>mean</w:t>
      </w:r>
      <w:r w:rsidR="005122B1" w:rsidRPr="003C3292">
        <w:rPr>
          <w:rFonts w:ascii="Bookman Old Style" w:hAnsi="Bookman Old Style"/>
        </w:rPr>
        <w:t xml:space="preserve"> the </w:t>
      </w:r>
      <w:r w:rsidR="00413B04" w:rsidRPr="003C3292">
        <w:rPr>
          <w:rFonts w:ascii="Bookman Old Style" w:hAnsi="Bookman Old Style"/>
        </w:rPr>
        <w:t>"</w:t>
      </w:r>
      <w:r w:rsidR="005122B1" w:rsidRPr="003C3292">
        <w:rPr>
          <w:rFonts w:ascii="Bookman Old Style" w:hAnsi="Bookman Old Style"/>
        </w:rPr>
        <w:t>Central Government</w:t>
      </w:r>
      <w:r w:rsidR="00413B04" w:rsidRPr="003C3292">
        <w:rPr>
          <w:rFonts w:ascii="Bookman Old Style" w:hAnsi="Bookman Old Style"/>
        </w:rPr>
        <w:t>"</w:t>
      </w:r>
      <w:r w:rsidR="005122B1" w:rsidRPr="003C3292">
        <w:rPr>
          <w:rFonts w:ascii="Bookman Old Style" w:hAnsi="Bookman Old Style"/>
        </w:rPr>
        <w:t xml:space="preserve"> in exercise of powers under the Act</w:t>
      </w:r>
      <w:r w:rsidR="000F38FE" w:rsidRPr="003C3292">
        <w:rPr>
          <w:rFonts w:ascii="Bookman Old Style" w:hAnsi="Bookman Old Style"/>
        </w:rPr>
        <w:t xml:space="preserve"> administering</w:t>
      </w:r>
      <w:r w:rsidR="005122B1" w:rsidRPr="003C3292">
        <w:rPr>
          <w:rFonts w:ascii="Bookman Old Style" w:hAnsi="Bookman Old Style"/>
        </w:rPr>
        <w:t xml:space="preserve"> through</w:t>
      </w:r>
      <w:r w:rsidR="000F38FE" w:rsidRPr="003C3292">
        <w:rPr>
          <w:rFonts w:ascii="Bookman Old Style" w:hAnsi="Bookman Old Style"/>
        </w:rPr>
        <w:t xml:space="preserve"> </w:t>
      </w:r>
      <w:r w:rsidR="005122B1" w:rsidRPr="003C3292">
        <w:rPr>
          <w:rFonts w:ascii="Bookman Old Style" w:hAnsi="Bookman Old Style"/>
        </w:rPr>
        <w:t xml:space="preserve">Director General of </w:t>
      </w:r>
      <w:r w:rsidR="008E5A1A">
        <w:rPr>
          <w:rFonts w:ascii="Bookman Old Style" w:hAnsi="Bookman Old Style"/>
        </w:rPr>
        <w:t>Maritime Administration</w:t>
      </w:r>
      <w:r w:rsidR="005122B1" w:rsidRPr="003C3292">
        <w:rPr>
          <w:rFonts w:ascii="Bookman Old Style" w:hAnsi="Bookman Old Style"/>
        </w:rPr>
        <w:t xml:space="preserve">. </w:t>
      </w:r>
    </w:p>
    <w:p w14:paraId="66FF6281" w14:textId="56F94C48" w:rsidR="00034AB9" w:rsidRPr="003C3292" w:rsidRDefault="005122B1" w:rsidP="007D6E38">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3</w:t>
      </w:r>
      <w:r w:rsidRPr="003C3292">
        <w:rPr>
          <w:rFonts w:ascii="Bookman Old Style" w:hAnsi="Bookman Old Style"/>
        </w:rPr>
        <w:t>)</w:t>
      </w:r>
      <w:r w:rsidR="00F82539">
        <w:rPr>
          <w:rFonts w:ascii="Bookman Old Style" w:hAnsi="Bookman Old Style"/>
        </w:rPr>
        <w:t xml:space="preserve"> </w:t>
      </w:r>
      <w:r w:rsidR="00034AB9" w:rsidRPr="003C3292">
        <w:rPr>
          <w:rFonts w:ascii="Bookman Old Style" w:hAnsi="Bookman Old Style"/>
        </w:rPr>
        <w:t xml:space="preserve">“Approved” </w:t>
      </w:r>
      <w:r w:rsidR="00FA036F" w:rsidRPr="003C3292">
        <w:rPr>
          <w:rFonts w:ascii="Bookman Old Style" w:hAnsi="Bookman Old Style"/>
        </w:rPr>
        <w:t>means:</w:t>
      </w:r>
    </w:p>
    <w:p w14:paraId="6E72D92F" w14:textId="78677763" w:rsidR="00034AB9" w:rsidRPr="00F82539" w:rsidRDefault="00034AB9" w:rsidP="00F82539">
      <w:pPr>
        <w:autoSpaceDE w:val="0"/>
        <w:autoSpaceDN w:val="0"/>
        <w:adjustRightInd w:val="0"/>
        <w:snapToGrid w:val="0"/>
        <w:spacing w:before="120" w:after="120"/>
        <w:jc w:val="both"/>
        <w:rPr>
          <w:rFonts w:ascii="Bookman Old Style" w:hAnsi="Bookman Old Style"/>
          <w:color w:val="000000" w:themeColor="text1"/>
        </w:rPr>
      </w:pPr>
      <w:r w:rsidRPr="003C3292">
        <w:rPr>
          <w:rFonts w:ascii="Bookman Old Style" w:hAnsi="Bookman Old Style"/>
        </w:rPr>
        <w:t>(</w:t>
      </w:r>
      <w:r w:rsidR="00B5596B">
        <w:rPr>
          <w:rFonts w:ascii="Bookman Old Style" w:hAnsi="Bookman Old Style"/>
        </w:rPr>
        <w:t>a</w:t>
      </w:r>
      <w:r w:rsidRPr="003C3292">
        <w:rPr>
          <w:rFonts w:ascii="Bookman Old Style" w:hAnsi="Bookman Old Style"/>
        </w:rPr>
        <w:t xml:space="preserve">) in respect of cargo stowage plans, equipment, </w:t>
      </w:r>
      <w:r w:rsidR="006E00A7" w:rsidRPr="003C3292">
        <w:rPr>
          <w:rFonts w:ascii="Bookman Old Style" w:hAnsi="Bookman Old Style"/>
        </w:rPr>
        <w:t>packaging,</w:t>
      </w:r>
      <w:r w:rsidR="007E5B66" w:rsidRPr="003C3292">
        <w:rPr>
          <w:rFonts w:ascii="Bookman Old Style" w:hAnsi="Bookman Old Style"/>
        </w:rPr>
        <w:t xml:space="preserve"> </w:t>
      </w:r>
      <w:r w:rsidR="00B51E7D" w:rsidRPr="003C3292">
        <w:rPr>
          <w:rFonts w:ascii="Bookman Old Style" w:hAnsi="Bookman Old Style"/>
        </w:rPr>
        <w:t xml:space="preserve">cargo </w:t>
      </w:r>
      <w:r w:rsidRPr="003C3292">
        <w:rPr>
          <w:rFonts w:ascii="Bookman Old Style" w:hAnsi="Bookman Old Style"/>
        </w:rPr>
        <w:t>securing manuals</w:t>
      </w:r>
      <w:r w:rsidR="00D42B1A" w:rsidRPr="003C3292">
        <w:rPr>
          <w:rFonts w:ascii="Bookman Old Style" w:hAnsi="Bookman Old Style"/>
        </w:rPr>
        <w:t xml:space="preserve">, </w:t>
      </w:r>
      <w:r w:rsidR="006E00A7" w:rsidRPr="003C3292">
        <w:rPr>
          <w:rFonts w:ascii="Bookman Old Style" w:hAnsi="Bookman Old Style"/>
        </w:rPr>
        <w:t>fumigation</w:t>
      </w:r>
      <w:r w:rsidR="00425D4F" w:rsidRPr="003C3292">
        <w:rPr>
          <w:rFonts w:ascii="Bookman Old Style" w:hAnsi="Bookman Old Style"/>
        </w:rPr>
        <w:t>, identification of hazards of cargoes not listed in the relevant codes</w:t>
      </w:r>
      <w:r w:rsidR="00D42B1A" w:rsidRPr="003C3292">
        <w:rPr>
          <w:rFonts w:ascii="Bookman Old Style" w:hAnsi="Bookman Old Style"/>
        </w:rPr>
        <w:t xml:space="preserve"> </w:t>
      </w:r>
      <w:r w:rsidRPr="003C3292">
        <w:rPr>
          <w:rFonts w:ascii="Bookman Old Style" w:hAnsi="Bookman Old Style"/>
        </w:rPr>
        <w:t>and</w:t>
      </w:r>
      <w:r w:rsidR="00B34159" w:rsidRPr="003C3292">
        <w:rPr>
          <w:rFonts w:ascii="Bookman Old Style" w:hAnsi="Bookman Old Style"/>
        </w:rPr>
        <w:t xml:space="preserve"> related matters approved by</w:t>
      </w:r>
      <w:r w:rsidRPr="003C3292">
        <w:rPr>
          <w:rFonts w:ascii="Bookman Old Style" w:hAnsi="Bookman Old Style"/>
        </w:rPr>
        <w:t xml:space="preserve"> Nautical </w:t>
      </w:r>
      <w:r w:rsidRPr="00F82539">
        <w:rPr>
          <w:rFonts w:ascii="Bookman Old Style" w:hAnsi="Bookman Old Style"/>
          <w:color w:val="000000" w:themeColor="text1"/>
        </w:rPr>
        <w:t>Advisor to the Government of India or</w:t>
      </w:r>
      <w:r w:rsidR="00B34159" w:rsidRPr="00F82539">
        <w:rPr>
          <w:rFonts w:ascii="Bookman Old Style" w:hAnsi="Bookman Old Style"/>
          <w:color w:val="000000" w:themeColor="text1"/>
        </w:rPr>
        <w:t xml:space="preserve"> Principal Officer, regional Mercantile Marine Department or </w:t>
      </w:r>
      <w:r w:rsidR="003731F7" w:rsidRPr="00F82539">
        <w:rPr>
          <w:rFonts w:ascii="Bookman Old Style" w:hAnsi="Bookman Old Style"/>
          <w:color w:val="000000" w:themeColor="text1"/>
        </w:rPr>
        <w:t>Deputy</w:t>
      </w:r>
      <w:r w:rsidR="00B34159" w:rsidRPr="00F82539">
        <w:rPr>
          <w:rFonts w:ascii="Bookman Old Style" w:hAnsi="Bookman Old Style"/>
          <w:color w:val="000000" w:themeColor="text1"/>
        </w:rPr>
        <w:t xml:space="preserve"> Nautical Advisor to the Government of India</w:t>
      </w:r>
      <w:r w:rsidRPr="00F82539">
        <w:rPr>
          <w:rFonts w:ascii="Bookman Old Style" w:hAnsi="Bookman Old Style"/>
          <w:color w:val="000000" w:themeColor="text1"/>
        </w:rPr>
        <w:t xml:space="preserve"> </w:t>
      </w:r>
      <w:r w:rsidR="00B34159" w:rsidRPr="00F82539">
        <w:rPr>
          <w:rFonts w:ascii="Bookman Old Style" w:hAnsi="Bookman Old Style"/>
          <w:color w:val="000000" w:themeColor="text1"/>
        </w:rPr>
        <w:t xml:space="preserve">or </w:t>
      </w:r>
      <w:r w:rsidRPr="00F82539">
        <w:rPr>
          <w:rFonts w:ascii="Bookman Old Style" w:hAnsi="Bookman Old Style"/>
          <w:color w:val="000000" w:themeColor="text1"/>
        </w:rPr>
        <w:t>Recognized Organization</w:t>
      </w:r>
      <w:r w:rsidR="007E0963" w:rsidRPr="00F82539">
        <w:rPr>
          <w:rFonts w:ascii="Bookman Old Style" w:hAnsi="Bookman Old Style"/>
          <w:color w:val="000000" w:themeColor="text1"/>
        </w:rPr>
        <w:t xml:space="preserve"> (RO)</w:t>
      </w:r>
      <w:r w:rsidR="00B34159" w:rsidRPr="00F82539">
        <w:rPr>
          <w:rFonts w:ascii="Bookman Old Style" w:hAnsi="Bookman Old Style"/>
          <w:color w:val="000000" w:themeColor="text1"/>
        </w:rPr>
        <w:t xml:space="preserve"> notified </w:t>
      </w:r>
      <w:r w:rsidRPr="00F82539">
        <w:rPr>
          <w:rFonts w:ascii="Bookman Old Style" w:hAnsi="Bookman Old Style"/>
          <w:color w:val="000000" w:themeColor="text1"/>
        </w:rPr>
        <w:t>by the Central Government</w:t>
      </w:r>
      <w:r w:rsidR="00B34159" w:rsidRPr="00F82539">
        <w:rPr>
          <w:rFonts w:ascii="Bookman Old Style" w:hAnsi="Bookman Old Style"/>
          <w:color w:val="000000" w:themeColor="text1"/>
        </w:rPr>
        <w:t>.</w:t>
      </w:r>
    </w:p>
    <w:p w14:paraId="4702D69C" w14:textId="345BF67E" w:rsidR="001B392C" w:rsidRPr="00F82539" w:rsidRDefault="00034AB9" w:rsidP="00F82539">
      <w:pPr>
        <w:autoSpaceDE w:val="0"/>
        <w:autoSpaceDN w:val="0"/>
        <w:adjustRightInd w:val="0"/>
        <w:snapToGrid w:val="0"/>
        <w:spacing w:before="120" w:after="120"/>
        <w:jc w:val="both"/>
        <w:rPr>
          <w:rFonts w:ascii="Bookman Old Style" w:hAnsi="Bookman Old Style"/>
          <w:color w:val="000000" w:themeColor="text1"/>
        </w:rPr>
      </w:pPr>
      <w:r w:rsidRPr="00F82539">
        <w:rPr>
          <w:rFonts w:ascii="Bookman Old Style" w:hAnsi="Bookman Old Style"/>
          <w:color w:val="000000" w:themeColor="text1"/>
        </w:rPr>
        <w:t>(</w:t>
      </w:r>
      <w:r w:rsidR="00B5596B">
        <w:rPr>
          <w:rFonts w:ascii="Bookman Old Style" w:hAnsi="Bookman Old Style"/>
          <w:color w:val="000000" w:themeColor="text1"/>
        </w:rPr>
        <w:t>b</w:t>
      </w:r>
      <w:r w:rsidRPr="00F82539">
        <w:rPr>
          <w:rFonts w:ascii="Bookman Old Style" w:hAnsi="Bookman Old Style"/>
          <w:color w:val="000000" w:themeColor="text1"/>
        </w:rPr>
        <w:t>) in respect of construction and equipment under</w:t>
      </w:r>
      <w:r w:rsidR="00D42B1A" w:rsidRPr="00F82539">
        <w:rPr>
          <w:rFonts w:ascii="Bookman Old Style" w:hAnsi="Bookman Old Style"/>
          <w:color w:val="000000" w:themeColor="text1"/>
        </w:rPr>
        <w:t xml:space="preserve"> MARPOL 73/78,</w:t>
      </w:r>
      <w:r w:rsidRPr="00F82539">
        <w:rPr>
          <w:rFonts w:ascii="Bookman Old Style" w:hAnsi="Bookman Old Style"/>
          <w:color w:val="000000" w:themeColor="text1"/>
        </w:rPr>
        <w:t xml:space="preserve"> IBC and IGC Code</w:t>
      </w:r>
      <w:r w:rsidR="00D42B1A" w:rsidRPr="00F82539">
        <w:rPr>
          <w:rFonts w:ascii="Bookman Old Style" w:hAnsi="Bookman Old Style"/>
          <w:color w:val="000000" w:themeColor="text1"/>
        </w:rPr>
        <w:t>s</w:t>
      </w:r>
      <w:r w:rsidR="002B4222" w:rsidRPr="00F82539">
        <w:rPr>
          <w:rFonts w:ascii="Bookman Old Style" w:hAnsi="Bookman Old Style"/>
          <w:color w:val="000000" w:themeColor="text1"/>
        </w:rPr>
        <w:t xml:space="preserve"> means</w:t>
      </w:r>
      <w:r w:rsidRPr="00F82539">
        <w:rPr>
          <w:rFonts w:ascii="Bookman Old Style" w:hAnsi="Bookman Old Style"/>
          <w:color w:val="000000" w:themeColor="text1"/>
        </w:rPr>
        <w:t xml:space="preserve"> approved </w:t>
      </w:r>
      <w:r w:rsidR="006E00A7" w:rsidRPr="00F82539">
        <w:rPr>
          <w:rFonts w:ascii="Bookman Old Style" w:hAnsi="Bookman Old Style"/>
          <w:color w:val="000000" w:themeColor="text1"/>
        </w:rPr>
        <w:t>by</w:t>
      </w:r>
      <w:r w:rsidRPr="00F82539">
        <w:rPr>
          <w:rFonts w:ascii="Bookman Old Style" w:hAnsi="Bookman Old Style"/>
          <w:color w:val="000000" w:themeColor="text1"/>
        </w:rPr>
        <w:t xml:space="preserve"> Chief Surveyor wit</w:t>
      </w:r>
      <w:r w:rsidR="00B34159" w:rsidRPr="00F82539">
        <w:rPr>
          <w:rFonts w:ascii="Bookman Old Style" w:hAnsi="Bookman Old Style"/>
          <w:color w:val="000000" w:themeColor="text1"/>
        </w:rPr>
        <w:t>h the Government of India or</w:t>
      </w:r>
      <w:r w:rsidRPr="00F82539">
        <w:rPr>
          <w:rFonts w:ascii="Bookman Old Style" w:hAnsi="Bookman Old Style"/>
          <w:color w:val="000000" w:themeColor="text1"/>
        </w:rPr>
        <w:t xml:space="preserve"> Deputy Chief Surveyor </w:t>
      </w:r>
      <w:r w:rsidR="002B4222" w:rsidRPr="00F82539">
        <w:rPr>
          <w:rFonts w:ascii="Bookman Old Style" w:hAnsi="Bookman Old Style"/>
          <w:color w:val="000000" w:themeColor="text1"/>
        </w:rPr>
        <w:t>with the Government of India</w:t>
      </w:r>
      <w:r w:rsidRPr="00F82539">
        <w:rPr>
          <w:rFonts w:ascii="Bookman Old Style" w:hAnsi="Bookman Old Style"/>
          <w:color w:val="000000" w:themeColor="text1"/>
        </w:rPr>
        <w:t xml:space="preserve"> </w:t>
      </w:r>
      <w:r w:rsidR="001B392C" w:rsidRPr="00F82539">
        <w:rPr>
          <w:rFonts w:ascii="Bookman Old Style" w:hAnsi="Bookman Old Style"/>
          <w:color w:val="000000" w:themeColor="text1"/>
        </w:rPr>
        <w:t>or Recognized Organization</w:t>
      </w:r>
      <w:r w:rsidR="007E0963" w:rsidRPr="00F82539">
        <w:rPr>
          <w:rFonts w:ascii="Bookman Old Style" w:hAnsi="Bookman Old Style"/>
          <w:color w:val="000000" w:themeColor="text1"/>
        </w:rPr>
        <w:t xml:space="preserve"> (RO) </w:t>
      </w:r>
      <w:r w:rsidR="001B392C" w:rsidRPr="00F82539">
        <w:rPr>
          <w:rFonts w:ascii="Bookman Old Style" w:hAnsi="Bookman Old Style"/>
          <w:color w:val="000000" w:themeColor="text1"/>
        </w:rPr>
        <w:t>notified by the Central Government.</w:t>
      </w:r>
    </w:p>
    <w:p w14:paraId="52F00626" w14:textId="1B21DE2A" w:rsidR="00034AB9" w:rsidRPr="003C3292" w:rsidRDefault="00034AB9" w:rsidP="00F82539">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c</w:t>
      </w:r>
      <w:r w:rsidRPr="003C3292">
        <w:rPr>
          <w:rFonts w:ascii="Bookman Old Style" w:hAnsi="Bookman Old Style"/>
        </w:rPr>
        <w:t xml:space="preserve">) in respect of </w:t>
      </w:r>
      <w:r w:rsidR="005F36FF" w:rsidRPr="003C3292">
        <w:rPr>
          <w:rFonts w:ascii="Bookman Old Style" w:hAnsi="Bookman Old Style"/>
        </w:rPr>
        <w:t>s</w:t>
      </w:r>
      <w:r w:rsidR="00D42B1A" w:rsidRPr="003C3292">
        <w:rPr>
          <w:rFonts w:ascii="Bookman Old Style" w:hAnsi="Bookman Old Style"/>
        </w:rPr>
        <w:t xml:space="preserve">tability and </w:t>
      </w:r>
      <w:r w:rsidR="005F36FF" w:rsidRPr="003C3292">
        <w:rPr>
          <w:rFonts w:ascii="Bookman Old Style" w:hAnsi="Bookman Old Style"/>
        </w:rPr>
        <w:t>s</w:t>
      </w:r>
      <w:r w:rsidR="00D42B1A" w:rsidRPr="003C3292">
        <w:rPr>
          <w:rFonts w:ascii="Bookman Old Style" w:hAnsi="Bookman Old Style"/>
        </w:rPr>
        <w:t xml:space="preserve">trength of ship means </w:t>
      </w:r>
      <w:r w:rsidR="001B392C" w:rsidRPr="003C3292">
        <w:rPr>
          <w:rFonts w:ascii="Bookman Old Style" w:hAnsi="Bookman Old Style"/>
        </w:rPr>
        <w:t>approved by</w:t>
      </w:r>
      <w:r w:rsidRPr="003C3292">
        <w:rPr>
          <w:rFonts w:ascii="Bookman Old Style" w:hAnsi="Bookman Old Style"/>
        </w:rPr>
        <w:t xml:space="preserve"> Chief</w:t>
      </w:r>
      <w:r w:rsidR="002B4222" w:rsidRPr="003C3292">
        <w:rPr>
          <w:rFonts w:ascii="Bookman Old Style" w:hAnsi="Bookman Old Style"/>
        </w:rPr>
        <w:t xml:space="preserve"> Ship</w:t>
      </w:r>
      <w:r w:rsidRPr="003C3292">
        <w:rPr>
          <w:rFonts w:ascii="Bookman Old Style" w:hAnsi="Bookman Old Style"/>
        </w:rPr>
        <w:t xml:space="preserve"> Surveyor with</w:t>
      </w:r>
      <w:r w:rsidR="001B392C" w:rsidRPr="003C3292">
        <w:rPr>
          <w:rFonts w:ascii="Bookman Old Style" w:hAnsi="Bookman Old Style"/>
        </w:rPr>
        <w:t xml:space="preserve"> the Government of India or </w:t>
      </w:r>
      <w:r w:rsidRPr="003C3292">
        <w:rPr>
          <w:rFonts w:ascii="Bookman Old Style" w:hAnsi="Bookman Old Style"/>
        </w:rPr>
        <w:t xml:space="preserve">Deputy Chief </w:t>
      </w:r>
      <w:r w:rsidR="002B4222" w:rsidRPr="003C3292">
        <w:rPr>
          <w:rFonts w:ascii="Bookman Old Style" w:hAnsi="Bookman Old Style"/>
        </w:rPr>
        <w:t xml:space="preserve">Ship </w:t>
      </w:r>
      <w:r w:rsidRPr="003C3292">
        <w:rPr>
          <w:rFonts w:ascii="Bookman Old Style" w:hAnsi="Bookman Old Style"/>
        </w:rPr>
        <w:t xml:space="preserve">Surveyor </w:t>
      </w:r>
      <w:r w:rsidR="00D6011F" w:rsidRPr="003C3292">
        <w:rPr>
          <w:rFonts w:ascii="Bookman Old Style" w:hAnsi="Bookman Old Style"/>
        </w:rPr>
        <w:t>with the G</w:t>
      </w:r>
      <w:r w:rsidR="002B4222" w:rsidRPr="003C3292">
        <w:rPr>
          <w:rFonts w:ascii="Bookman Old Style" w:hAnsi="Bookman Old Style"/>
        </w:rPr>
        <w:t>overnment of India</w:t>
      </w:r>
      <w:r w:rsidRPr="003C3292">
        <w:rPr>
          <w:rFonts w:ascii="Bookman Old Style" w:hAnsi="Bookman Old Style"/>
        </w:rPr>
        <w:t xml:space="preserve"> </w:t>
      </w:r>
      <w:r w:rsidR="001B392C" w:rsidRPr="003C3292">
        <w:rPr>
          <w:rFonts w:ascii="Bookman Old Style" w:hAnsi="Bookman Old Style"/>
        </w:rPr>
        <w:t>or Recognized Organization</w:t>
      </w:r>
      <w:r w:rsidR="007E0963" w:rsidRPr="003C3292">
        <w:rPr>
          <w:rFonts w:ascii="Bookman Old Style" w:hAnsi="Bookman Old Style"/>
        </w:rPr>
        <w:t xml:space="preserve"> (RO) </w:t>
      </w:r>
      <w:r w:rsidR="001B392C" w:rsidRPr="003C3292">
        <w:rPr>
          <w:rFonts w:ascii="Bookman Old Style" w:hAnsi="Bookman Old Style"/>
        </w:rPr>
        <w:t>notified by the Central Government.</w:t>
      </w:r>
      <w:r w:rsidRPr="003C3292">
        <w:rPr>
          <w:rFonts w:ascii="Bookman Old Style" w:hAnsi="Bookman Old Style"/>
        </w:rPr>
        <w:t xml:space="preserve"> </w:t>
      </w:r>
    </w:p>
    <w:p w14:paraId="7D83AAD4" w14:textId="268AC765" w:rsidR="00034AB9" w:rsidRPr="003C3292" w:rsidRDefault="00034AB9" w:rsidP="007D6E38">
      <w:pPr>
        <w:pStyle w:val="BodyText"/>
        <w:snapToGrid w:val="0"/>
        <w:spacing w:before="120" w:after="120"/>
        <w:rPr>
          <w:szCs w:val="24"/>
        </w:rPr>
      </w:pPr>
      <w:r w:rsidRPr="003C3292">
        <w:rPr>
          <w:szCs w:val="24"/>
        </w:rPr>
        <w:t>(</w:t>
      </w:r>
      <w:r w:rsidR="00B5596B">
        <w:rPr>
          <w:szCs w:val="24"/>
        </w:rPr>
        <w:t>4</w:t>
      </w:r>
      <w:r w:rsidR="007E5B66" w:rsidRPr="003C3292">
        <w:rPr>
          <w:szCs w:val="24"/>
        </w:rPr>
        <w:t>) “A</w:t>
      </w:r>
      <w:r w:rsidRPr="003C3292">
        <w:rPr>
          <w:szCs w:val="24"/>
        </w:rPr>
        <w:t xml:space="preserve">pproved </w:t>
      </w:r>
      <w:r w:rsidR="007E5B66" w:rsidRPr="003C3292">
        <w:rPr>
          <w:szCs w:val="24"/>
        </w:rPr>
        <w:t>p</w:t>
      </w:r>
      <w:r w:rsidRPr="003C3292">
        <w:rPr>
          <w:szCs w:val="24"/>
        </w:rPr>
        <w:t xml:space="preserve">erson” means any person approved by </w:t>
      </w:r>
      <w:r w:rsidR="0036782D">
        <w:rPr>
          <w:szCs w:val="24"/>
        </w:rPr>
        <w:t xml:space="preserve">Rule </w:t>
      </w:r>
      <w:r w:rsidR="00441CC7">
        <w:rPr>
          <w:szCs w:val="24"/>
        </w:rPr>
        <w:t>4</w:t>
      </w:r>
      <w:r w:rsidR="0036782D">
        <w:rPr>
          <w:szCs w:val="24"/>
        </w:rPr>
        <w:t xml:space="preserve">(3) </w:t>
      </w:r>
      <w:r w:rsidRPr="003C3292">
        <w:rPr>
          <w:szCs w:val="24"/>
        </w:rPr>
        <w:t xml:space="preserve">possessing the knowledge and experience required to conduct </w:t>
      </w:r>
      <w:r w:rsidR="00D42B1A" w:rsidRPr="003C3292">
        <w:rPr>
          <w:szCs w:val="24"/>
        </w:rPr>
        <w:t>various tests</w:t>
      </w:r>
      <w:r w:rsidRPr="003C3292">
        <w:rPr>
          <w:szCs w:val="24"/>
        </w:rPr>
        <w:t xml:space="preserve"> on</w:t>
      </w:r>
      <w:r w:rsidR="005F36FF" w:rsidRPr="003C3292">
        <w:rPr>
          <w:szCs w:val="24"/>
        </w:rPr>
        <w:t xml:space="preserve"> machinery, electrical installations, </w:t>
      </w:r>
      <w:proofErr w:type="spellStart"/>
      <w:r w:rsidR="005F36FF" w:rsidRPr="003C3292">
        <w:rPr>
          <w:szCs w:val="24"/>
        </w:rPr>
        <w:t>ships</w:t>
      </w:r>
      <w:proofErr w:type="spellEnd"/>
      <w:r w:rsidR="005F36FF" w:rsidRPr="003C3292">
        <w:rPr>
          <w:szCs w:val="24"/>
        </w:rPr>
        <w:t xml:space="preserve"> hull and</w:t>
      </w:r>
      <w:r w:rsidR="00502F89">
        <w:rPr>
          <w:szCs w:val="24"/>
        </w:rPr>
        <w:t xml:space="preserve"> </w:t>
      </w:r>
      <w:r w:rsidR="005F36FF" w:rsidRPr="003C3292">
        <w:rPr>
          <w:szCs w:val="24"/>
        </w:rPr>
        <w:t>structure,</w:t>
      </w:r>
      <w:r w:rsidRPr="003C3292">
        <w:rPr>
          <w:szCs w:val="24"/>
        </w:rPr>
        <w:t xml:space="preserve"> equipment</w:t>
      </w:r>
      <w:r w:rsidR="005F36FF" w:rsidRPr="003C3292">
        <w:rPr>
          <w:szCs w:val="24"/>
        </w:rPr>
        <w:t>,</w:t>
      </w:r>
      <w:r w:rsidRPr="003C3292">
        <w:rPr>
          <w:szCs w:val="24"/>
        </w:rPr>
        <w:t xml:space="preserve"> required under these rules</w:t>
      </w:r>
      <w:r w:rsidR="005F36FF" w:rsidRPr="003C3292">
        <w:rPr>
          <w:szCs w:val="24"/>
        </w:rPr>
        <w:t xml:space="preserve"> in course of construction, major conversions/repairs, operations and maintenance of the ship</w:t>
      </w:r>
      <w:r w:rsidR="004A395D" w:rsidRPr="003C3292">
        <w:rPr>
          <w:szCs w:val="24"/>
        </w:rPr>
        <w:t xml:space="preserve"> and appointed </w:t>
      </w:r>
      <w:r w:rsidR="004A395D" w:rsidRPr="00C4431A">
        <w:rPr>
          <w:szCs w:val="24"/>
        </w:rPr>
        <w:t xml:space="preserve">under Section </w:t>
      </w:r>
      <w:r w:rsidR="00502F89" w:rsidRPr="00C4431A">
        <w:rPr>
          <w:szCs w:val="24"/>
        </w:rPr>
        <w:t>8</w:t>
      </w:r>
      <w:r w:rsidR="004A395D" w:rsidRPr="00C4431A">
        <w:rPr>
          <w:szCs w:val="24"/>
        </w:rPr>
        <w:t xml:space="preserve"> of the Act.</w:t>
      </w:r>
    </w:p>
    <w:p w14:paraId="337403CE" w14:textId="7648D9C3" w:rsidR="00AA3B11" w:rsidRPr="003C3292" w:rsidRDefault="004B5BC5"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5</w:t>
      </w:r>
      <w:r w:rsidR="00AA3B11" w:rsidRPr="003C3292">
        <w:rPr>
          <w:rFonts w:ascii="Bookman Old Style" w:hAnsi="Bookman Old Style"/>
        </w:rPr>
        <w:t>)</w:t>
      </w:r>
      <w:r w:rsidR="00DD17E1" w:rsidRPr="003C3292">
        <w:rPr>
          <w:rFonts w:ascii="Bookman Old Style" w:hAnsi="Bookman Old Style"/>
        </w:rPr>
        <w:t xml:space="preserve"> </w:t>
      </w:r>
      <w:r w:rsidR="00441CC7" w:rsidRPr="003C3292">
        <w:rPr>
          <w:rFonts w:ascii="Bookman Old Style" w:hAnsi="Bookman Old Style"/>
        </w:rPr>
        <w:t xml:space="preserve">IMSBC Code" means the International Maritime Solid Bulk Cargoes </w:t>
      </w:r>
      <w:r w:rsidR="00441CC7">
        <w:rPr>
          <w:rFonts w:ascii="Bookman Old Style" w:hAnsi="Bookman Old Style"/>
        </w:rPr>
        <w:t>C</w:t>
      </w:r>
      <w:r w:rsidR="00441CC7" w:rsidRPr="003C3292">
        <w:rPr>
          <w:rFonts w:ascii="Bookman Old Style" w:hAnsi="Bookman Old Style"/>
        </w:rPr>
        <w:t>ode, adopted by the International Maritime Organization</w:t>
      </w:r>
      <w:r w:rsidR="00441CC7">
        <w:rPr>
          <w:rFonts w:ascii="Bookman Old Style" w:hAnsi="Bookman Old Style"/>
        </w:rPr>
        <w:t xml:space="preserve"> by Resolution MSC.268(85)</w:t>
      </w:r>
      <w:r w:rsidR="00441CC7" w:rsidRPr="003C3292">
        <w:rPr>
          <w:rFonts w:ascii="Bookman Old Style" w:hAnsi="Bookman Old Style"/>
        </w:rPr>
        <w:t xml:space="preserve">, as </w:t>
      </w:r>
      <w:r w:rsidR="00441CC7">
        <w:rPr>
          <w:rFonts w:ascii="Bookman Old Style" w:hAnsi="Bookman Old Style"/>
        </w:rPr>
        <w:t>may be amended.</w:t>
      </w:r>
    </w:p>
    <w:p w14:paraId="3FFC5926" w14:textId="5AF9FC01" w:rsidR="00ED1F31" w:rsidRPr="003C3292" w:rsidRDefault="002934BF"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6</w:t>
      </w:r>
      <w:r w:rsidRPr="003C3292">
        <w:rPr>
          <w:rFonts w:ascii="Bookman Old Style" w:hAnsi="Bookman Old Style"/>
        </w:rPr>
        <w:t xml:space="preserve">) </w:t>
      </w:r>
      <w:r w:rsidR="00441CC7" w:rsidRPr="003C3292">
        <w:rPr>
          <w:rFonts w:ascii="Bookman Old Style" w:hAnsi="Bookman Old Style"/>
        </w:rPr>
        <w:t xml:space="preserve">"BLU code" means </w:t>
      </w:r>
      <w:r w:rsidR="00441CC7">
        <w:rPr>
          <w:rFonts w:ascii="Bookman Old Style" w:hAnsi="Bookman Old Style"/>
        </w:rPr>
        <w:t>T</w:t>
      </w:r>
      <w:r w:rsidR="00441CC7" w:rsidRPr="003C3292">
        <w:rPr>
          <w:rFonts w:ascii="Bookman Old Style" w:hAnsi="Bookman Old Style"/>
        </w:rPr>
        <w:t xml:space="preserve">he Code of Practice for the Safe Loading and Unloading of Bulk Carriers including BLU </w:t>
      </w:r>
      <w:r w:rsidR="00441CC7">
        <w:rPr>
          <w:rFonts w:ascii="Bookman Old Style" w:hAnsi="Bookman Old Style"/>
        </w:rPr>
        <w:t>M</w:t>
      </w:r>
      <w:r w:rsidR="00441CC7" w:rsidRPr="003C3292">
        <w:rPr>
          <w:rFonts w:ascii="Bookman Old Style" w:hAnsi="Bookman Old Style"/>
        </w:rPr>
        <w:t xml:space="preserve">anual adopted by the </w:t>
      </w:r>
      <w:r w:rsidR="00441CC7" w:rsidRPr="003C3292">
        <w:rPr>
          <w:rFonts w:ascii="Bookman Old Style" w:hAnsi="Bookman Old Style"/>
        </w:rPr>
        <w:lastRenderedPageBreak/>
        <w:t>International Maritime Organization</w:t>
      </w:r>
      <w:r w:rsidR="00441CC7">
        <w:rPr>
          <w:rFonts w:ascii="Bookman Old Style" w:hAnsi="Bookman Old Style"/>
        </w:rPr>
        <w:t xml:space="preserve"> by Resolution A.862(20),</w:t>
      </w:r>
      <w:r w:rsidR="00441CC7" w:rsidRPr="003C3292">
        <w:rPr>
          <w:rFonts w:ascii="Bookman Old Style" w:hAnsi="Bookman Old Style"/>
        </w:rPr>
        <w:t xml:space="preserve"> as amended from time to time; incorporated as Supplement to the IMSBC Code</w:t>
      </w:r>
      <w:r w:rsidR="00AC2583" w:rsidRPr="003C3292">
        <w:rPr>
          <w:rFonts w:ascii="Bookman Old Style" w:hAnsi="Bookman Old Style"/>
        </w:rPr>
        <w:t>.</w:t>
      </w:r>
    </w:p>
    <w:p w14:paraId="523FFCD7" w14:textId="67176B6F" w:rsidR="00D53F69" w:rsidRPr="003C3292" w:rsidRDefault="004B5BC5"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7</w:t>
      </w:r>
      <w:r w:rsidR="00AA3B11" w:rsidRPr="003C3292">
        <w:rPr>
          <w:rFonts w:ascii="Bookman Old Style" w:hAnsi="Bookman Old Style"/>
        </w:rPr>
        <w:t>)</w:t>
      </w:r>
      <w:r w:rsidR="00DD17E1" w:rsidRPr="003C3292">
        <w:rPr>
          <w:rFonts w:ascii="Bookman Old Style" w:hAnsi="Bookman Old Style"/>
        </w:rPr>
        <w:t> </w:t>
      </w:r>
      <w:r w:rsidR="007E5B66" w:rsidRPr="003C3292">
        <w:rPr>
          <w:rFonts w:ascii="Bookman Old Style" w:hAnsi="Bookman Old Style"/>
        </w:rPr>
        <w:t>"C</w:t>
      </w:r>
      <w:r w:rsidR="00AA3B11" w:rsidRPr="003C3292">
        <w:rPr>
          <w:rFonts w:ascii="Bookman Old Style" w:hAnsi="Bookman Old Style"/>
        </w:rPr>
        <w:t xml:space="preserve">argo </w:t>
      </w:r>
      <w:r w:rsidR="00415429">
        <w:rPr>
          <w:rFonts w:ascii="Bookman Old Style" w:hAnsi="Bookman Old Style"/>
        </w:rPr>
        <w:t>U</w:t>
      </w:r>
      <w:r w:rsidR="00AA3B11" w:rsidRPr="003C3292">
        <w:rPr>
          <w:rFonts w:ascii="Bookman Old Style" w:hAnsi="Bookman Old Style"/>
        </w:rPr>
        <w:t>nit" means a vehicle, container, flat</w:t>
      </w:r>
      <w:r w:rsidR="00415429">
        <w:rPr>
          <w:rFonts w:ascii="Bookman Old Style" w:hAnsi="Bookman Old Style"/>
        </w:rPr>
        <w:t>,</w:t>
      </w:r>
      <w:r w:rsidR="00AA3B11" w:rsidRPr="003C3292">
        <w:rPr>
          <w:rFonts w:ascii="Bookman Old Style" w:hAnsi="Bookman Old Style"/>
        </w:rPr>
        <w:t xml:space="preserve"> pallet portable tank, packaged unit, or</w:t>
      </w:r>
      <w:r w:rsidR="007E5B66" w:rsidRPr="003C3292">
        <w:rPr>
          <w:rFonts w:ascii="Bookman Old Style" w:hAnsi="Bookman Old Style"/>
        </w:rPr>
        <w:t xml:space="preserve"> </w:t>
      </w:r>
      <w:r w:rsidR="00AA3B11" w:rsidRPr="003C3292">
        <w:rPr>
          <w:rFonts w:ascii="Bookman Old Style" w:hAnsi="Bookman Old Style"/>
        </w:rPr>
        <w:t xml:space="preserve">any other entity </w:t>
      </w:r>
      <w:r w:rsidR="00415429">
        <w:rPr>
          <w:rFonts w:ascii="Bookman Old Style" w:hAnsi="Bookman Old Style"/>
        </w:rPr>
        <w:t xml:space="preserve">etc., </w:t>
      </w:r>
      <w:r w:rsidR="00AA3B11" w:rsidRPr="003C3292">
        <w:rPr>
          <w:rFonts w:ascii="Bookman Old Style" w:hAnsi="Bookman Old Style"/>
        </w:rPr>
        <w:t>and loading equipment or part thereof which belong</w:t>
      </w:r>
      <w:r w:rsidR="00415429">
        <w:rPr>
          <w:rFonts w:ascii="Bookman Old Style" w:hAnsi="Bookman Old Style"/>
        </w:rPr>
        <w:t>s</w:t>
      </w:r>
      <w:r w:rsidR="00AA3B11" w:rsidRPr="003C3292">
        <w:rPr>
          <w:rFonts w:ascii="Bookman Old Style" w:hAnsi="Bookman Old Style"/>
        </w:rPr>
        <w:t xml:space="preserve"> to the ship but is not fixed to the ship</w:t>
      </w:r>
      <w:r w:rsidR="00415429">
        <w:rPr>
          <w:rFonts w:ascii="Bookman Old Style" w:hAnsi="Bookman Old Style"/>
        </w:rPr>
        <w:t>.</w:t>
      </w:r>
    </w:p>
    <w:p w14:paraId="253AF605" w14:textId="008A3E52" w:rsidR="00AA3B11" w:rsidRPr="003C3292" w:rsidRDefault="004B5BC5"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8</w:t>
      </w:r>
      <w:r w:rsidR="00BD60A3" w:rsidRPr="003C3292">
        <w:rPr>
          <w:rFonts w:ascii="Bookman Old Style" w:hAnsi="Bookman Old Style"/>
        </w:rPr>
        <w:t>) </w:t>
      </w:r>
      <w:r w:rsidR="00441CC7" w:rsidRPr="003C3292">
        <w:rPr>
          <w:rFonts w:ascii="Bookman Old Style" w:hAnsi="Bookman Old Style"/>
        </w:rPr>
        <w:t xml:space="preserve">"Cargo Stowage </w:t>
      </w:r>
      <w:r w:rsidR="00441CC7">
        <w:rPr>
          <w:rFonts w:ascii="Bookman Old Style" w:hAnsi="Bookman Old Style"/>
        </w:rPr>
        <w:t xml:space="preserve">and Securing </w:t>
      </w:r>
      <w:r w:rsidR="00441CC7" w:rsidRPr="003C3292">
        <w:rPr>
          <w:rFonts w:ascii="Bookman Old Style" w:hAnsi="Bookman Old Style"/>
        </w:rPr>
        <w:t xml:space="preserve">Code" or "CSS" means the </w:t>
      </w:r>
      <w:r w:rsidR="00441CC7">
        <w:rPr>
          <w:rFonts w:ascii="Bookman Old Style" w:hAnsi="Bookman Old Style"/>
        </w:rPr>
        <w:t>C</w:t>
      </w:r>
      <w:r w:rsidR="00441CC7" w:rsidRPr="003C3292">
        <w:rPr>
          <w:rFonts w:ascii="Bookman Old Style" w:hAnsi="Bookman Old Style"/>
        </w:rPr>
        <w:t xml:space="preserve">ode of </w:t>
      </w:r>
      <w:r w:rsidR="00441CC7">
        <w:rPr>
          <w:rFonts w:ascii="Bookman Old Style" w:hAnsi="Bookman Old Style"/>
        </w:rPr>
        <w:t>S</w:t>
      </w:r>
      <w:r w:rsidR="00441CC7" w:rsidRPr="003C3292">
        <w:rPr>
          <w:rFonts w:ascii="Bookman Old Style" w:hAnsi="Bookman Old Style"/>
        </w:rPr>
        <w:t xml:space="preserve">afe </w:t>
      </w:r>
      <w:r w:rsidR="00441CC7">
        <w:rPr>
          <w:rFonts w:ascii="Bookman Old Style" w:hAnsi="Bookman Old Style"/>
        </w:rPr>
        <w:t>P</w:t>
      </w:r>
      <w:r w:rsidR="00441CC7" w:rsidRPr="003C3292">
        <w:rPr>
          <w:rFonts w:ascii="Bookman Old Style" w:hAnsi="Bookman Old Style"/>
        </w:rPr>
        <w:t xml:space="preserve">ractice for </w:t>
      </w:r>
      <w:r w:rsidR="00441CC7">
        <w:rPr>
          <w:rFonts w:ascii="Bookman Old Style" w:hAnsi="Bookman Old Style"/>
        </w:rPr>
        <w:t>C</w:t>
      </w:r>
      <w:r w:rsidR="00441CC7" w:rsidRPr="003C3292">
        <w:rPr>
          <w:rFonts w:ascii="Bookman Old Style" w:hAnsi="Bookman Old Style"/>
        </w:rPr>
        <w:t xml:space="preserve">argo </w:t>
      </w:r>
      <w:r w:rsidR="00441CC7">
        <w:rPr>
          <w:rFonts w:ascii="Bookman Old Style" w:hAnsi="Bookman Old Style"/>
        </w:rPr>
        <w:t>S</w:t>
      </w:r>
      <w:r w:rsidR="00441CC7" w:rsidRPr="003C3292">
        <w:rPr>
          <w:rFonts w:ascii="Bookman Old Style" w:hAnsi="Bookman Old Style"/>
        </w:rPr>
        <w:t xml:space="preserve">towage and </w:t>
      </w:r>
      <w:r w:rsidR="00441CC7">
        <w:rPr>
          <w:rFonts w:ascii="Bookman Old Style" w:hAnsi="Bookman Old Style"/>
        </w:rPr>
        <w:t>S</w:t>
      </w:r>
      <w:r w:rsidR="00441CC7" w:rsidRPr="003C3292">
        <w:rPr>
          <w:rFonts w:ascii="Bookman Old Style" w:hAnsi="Bookman Old Style"/>
        </w:rPr>
        <w:t>ecuring adopted by the International Maritime Organization</w:t>
      </w:r>
      <w:r w:rsidR="00441CC7">
        <w:rPr>
          <w:rFonts w:ascii="Bookman Old Style" w:hAnsi="Bookman Old Style"/>
        </w:rPr>
        <w:t xml:space="preserve"> by Resolution A.714 (16), </w:t>
      </w:r>
      <w:r w:rsidR="00441CC7" w:rsidRPr="003C3292">
        <w:rPr>
          <w:rFonts w:ascii="Bookman Old Style" w:hAnsi="Bookman Old Style"/>
        </w:rPr>
        <w:t>as amended</w:t>
      </w:r>
      <w:r w:rsidR="00441CC7">
        <w:rPr>
          <w:rFonts w:ascii="Bookman Old Style" w:hAnsi="Bookman Old Style"/>
        </w:rPr>
        <w:t>.</w:t>
      </w:r>
      <w:r w:rsidR="00AA3B11" w:rsidRPr="003C3292">
        <w:rPr>
          <w:rFonts w:ascii="Bookman Old Style" w:hAnsi="Bookman Old Style"/>
        </w:rPr>
        <w:t> </w:t>
      </w:r>
    </w:p>
    <w:p w14:paraId="61FCD32A" w14:textId="657B7310" w:rsidR="00A7716C" w:rsidRDefault="002934BF" w:rsidP="007D6E38">
      <w:pPr>
        <w:snapToGrid w:val="0"/>
        <w:spacing w:before="120" w:after="120"/>
        <w:jc w:val="both"/>
        <w:rPr>
          <w:rFonts w:ascii="Bookman Old Style" w:hAnsi="Bookman Old Style" w:cs="Arial"/>
          <w:color w:val="000000"/>
        </w:rPr>
      </w:pPr>
      <w:r w:rsidRPr="003C3292">
        <w:rPr>
          <w:rFonts w:ascii="Bookman Old Style" w:hAnsi="Bookman Old Style" w:cs="Arial"/>
          <w:color w:val="000000"/>
        </w:rPr>
        <w:t>(</w:t>
      </w:r>
      <w:r w:rsidR="00E9469C">
        <w:rPr>
          <w:rFonts w:ascii="Bookman Old Style" w:hAnsi="Bookman Old Style" w:cs="Arial"/>
          <w:color w:val="000000"/>
        </w:rPr>
        <w:t>9</w:t>
      </w:r>
      <w:r w:rsidRPr="003C3292">
        <w:rPr>
          <w:rFonts w:ascii="Bookman Old Style" w:hAnsi="Bookman Old Style" w:cs="Arial"/>
          <w:color w:val="000000"/>
        </w:rPr>
        <w:t>)</w:t>
      </w:r>
      <w:r w:rsidR="006F67D0" w:rsidRPr="003C3292">
        <w:rPr>
          <w:rFonts w:ascii="Bookman Old Style" w:hAnsi="Bookman Old Style" w:cs="Arial"/>
          <w:color w:val="000000"/>
        </w:rPr>
        <w:t xml:space="preserve"> </w:t>
      </w:r>
      <w:r w:rsidR="00441CC7" w:rsidRPr="003C3292">
        <w:rPr>
          <w:rFonts w:ascii="Bookman Old Style" w:hAnsi="Bookman Old Style" w:cs="Arial"/>
          <w:color w:val="000000"/>
        </w:rPr>
        <w:t xml:space="preserve">"CTU Code" means </w:t>
      </w:r>
      <w:r w:rsidR="00441CC7">
        <w:rPr>
          <w:rFonts w:ascii="Bookman Old Style" w:hAnsi="Bookman Old Style" w:cs="Arial"/>
          <w:color w:val="000000"/>
        </w:rPr>
        <w:t xml:space="preserve">the 2014 </w:t>
      </w:r>
      <w:r w:rsidR="00441CC7" w:rsidRPr="003C3292">
        <w:rPr>
          <w:rFonts w:ascii="Bookman Old Style" w:hAnsi="Bookman Old Style" w:cs="Arial"/>
          <w:color w:val="000000"/>
        </w:rPr>
        <w:t xml:space="preserve">Code of Practice for Packing of Cargo Transport Units, </w:t>
      </w:r>
      <w:r w:rsidR="00441CC7">
        <w:rPr>
          <w:rFonts w:ascii="Bookman Old Style" w:hAnsi="Bookman Old Style" w:cs="Arial"/>
          <w:color w:val="000000"/>
        </w:rPr>
        <w:t>which</w:t>
      </w:r>
      <w:r w:rsidR="00441CC7" w:rsidRPr="000933EA">
        <w:rPr>
          <w:rFonts w:ascii="Bookman Old Style" w:hAnsi="Bookman Old Style" w:cs="Arial"/>
          <w:color w:val="000000"/>
        </w:rPr>
        <w:t xml:space="preserve"> is </w:t>
      </w:r>
      <w:r w:rsidR="00441CC7">
        <w:rPr>
          <w:rFonts w:ascii="Bookman Old Style" w:hAnsi="Bookman Old Style" w:cs="Arial"/>
          <w:color w:val="000000"/>
        </w:rPr>
        <w:t xml:space="preserve">endorsed by </w:t>
      </w:r>
      <w:r w:rsidR="00441CC7" w:rsidRPr="000933EA">
        <w:rPr>
          <w:rFonts w:ascii="Bookman Old Style" w:hAnsi="Bookman Old Style" w:cs="Arial"/>
          <w:color w:val="000000"/>
        </w:rPr>
        <w:t>IMO</w:t>
      </w:r>
      <w:r w:rsidR="00441CC7">
        <w:rPr>
          <w:rFonts w:ascii="Bookman Old Style" w:hAnsi="Bookman Old Style" w:cs="Arial"/>
          <w:color w:val="000000"/>
        </w:rPr>
        <w:t xml:space="preserve">, </w:t>
      </w:r>
      <w:r w:rsidR="00441CC7" w:rsidRPr="000933EA">
        <w:rPr>
          <w:rFonts w:ascii="Bookman Old Style" w:hAnsi="Bookman Old Style" w:cs="Arial"/>
          <w:color w:val="000000"/>
        </w:rPr>
        <w:t>ILO</w:t>
      </w:r>
      <w:r w:rsidR="00441CC7">
        <w:rPr>
          <w:rFonts w:ascii="Bookman Old Style" w:hAnsi="Bookman Old Style" w:cs="Arial"/>
          <w:color w:val="000000"/>
        </w:rPr>
        <w:t xml:space="preserve">, and </w:t>
      </w:r>
      <w:r w:rsidR="00441CC7" w:rsidRPr="000933EA">
        <w:rPr>
          <w:rFonts w:ascii="Bookman Old Style" w:hAnsi="Bookman Old Style" w:cs="Arial"/>
          <w:color w:val="000000"/>
        </w:rPr>
        <w:t>UNECE</w:t>
      </w:r>
      <w:r w:rsidR="00441CC7">
        <w:rPr>
          <w:rFonts w:ascii="Bookman Old Style" w:hAnsi="Bookman Old Style" w:cs="Arial"/>
          <w:color w:val="000000"/>
        </w:rPr>
        <w:t>, and is as amended from time to time</w:t>
      </w:r>
      <w:r w:rsidR="00415429">
        <w:rPr>
          <w:rFonts w:ascii="Bookman Old Style" w:hAnsi="Bookman Old Style"/>
        </w:rPr>
        <w:t>.</w:t>
      </w:r>
      <w:r w:rsidR="006F67D0" w:rsidRPr="003C3292">
        <w:rPr>
          <w:rFonts w:ascii="Bookman Old Style" w:hAnsi="Bookman Old Style" w:cs="Arial"/>
          <w:color w:val="000000"/>
        </w:rPr>
        <w:t xml:space="preserve"> </w:t>
      </w:r>
    </w:p>
    <w:p w14:paraId="3261D007" w14:textId="08E89DD4" w:rsidR="00415429" w:rsidRPr="003C3292" w:rsidRDefault="00415429" w:rsidP="007D6E38">
      <w:pPr>
        <w:snapToGrid w:val="0"/>
        <w:spacing w:before="120" w:after="120"/>
        <w:jc w:val="both"/>
        <w:rPr>
          <w:rFonts w:ascii="Bookman Old Style" w:hAnsi="Bookman Old Style"/>
        </w:rPr>
      </w:pPr>
      <w:r>
        <w:rPr>
          <w:rFonts w:ascii="Bookman Old Style" w:hAnsi="Bookman Old Style"/>
        </w:rPr>
        <w:t>(</w:t>
      </w:r>
      <w:r w:rsidR="00E9469C">
        <w:rPr>
          <w:rFonts w:ascii="Bookman Old Style" w:hAnsi="Bookman Old Style"/>
        </w:rPr>
        <w:t>10</w:t>
      </w:r>
      <w:r>
        <w:rPr>
          <w:rFonts w:ascii="Bookman Old Style" w:hAnsi="Bookman Old Style"/>
        </w:rPr>
        <w:t xml:space="preserve">) “Cargo Transport Unit” is a </w:t>
      </w:r>
      <w:r w:rsidRPr="00415429">
        <w:rPr>
          <w:rFonts w:ascii="Bookman Old Style" w:hAnsi="Bookman Old Style"/>
        </w:rPr>
        <w:t xml:space="preserve">freight container, swap body, vehicle, railway wagon or any other similar unit </w:t>
      </w:r>
      <w:proofErr w:type="gramStart"/>
      <w:r w:rsidRPr="00415429">
        <w:rPr>
          <w:rFonts w:ascii="Bookman Old Style" w:hAnsi="Bookman Old Style"/>
        </w:rPr>
        <w:t>in particular when</w:t>
      </w:r>
      <w:proofErr w:type="gramEnd"/>
      <w:r w:rsidRPr="00415429">
        <w:rPr>
          <w:rFonts w:ascii="Bookman Old Style" w:hAnsi="Bookman Old Style"/>
        </w:rPr>
        <w:t xml:space="preserve"> used in intermodal transport.</w:t>
      </w:r>
    </w:p>
    <w:p w14:paraId="1AE4BF23" w14:textId="72B4A428" w:rsidR="00452A90" w:rsidRPr="003C3292" w:rsidRDefault="00C31416" w:rsidP="007D6E38">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1</w:t>
      </w:r>
      <w:r w:rsidR="00E9469C">
        <w:rPr>
          <w:rFonts w:ascii="Bookman Old Style" w:hAnsi="Bookman Old Style"/>
        </w:rPr>
        <w:t>1</w:t>
      </w:r>
      <w:r w:rsidR="006305C8" w:rsidRPr="003C3292">
        <w:rPr>
          <w:rFonts w:ascii="Bookman Old Style" w:hAnsi="Bookman Old Style"/>
        </w:rPr>
        <w:t xml:space="preserve">) </w:t>
      </w:r>
      <w:r w:rsidR="00724492" w:rsidRPr="003C3292">
        <w:rPr>
          <w:rFonts w:ascii="Bookman Old Style" w:hAnsi="Bookman Old Style"/>
        </w:rPr>
        <w:t xml:space="preserve">“Competent Authority” means </w:t>
      </w:r>
      <w:r w:rsidR="00452A90" w:rsidRPr="003C3292">
        <w:rPr>
          <w:rFonts w:ascii="Bookman Old Style" w:hAnsi="Bookman Old Style"/>
        </w:rPr>
        <w:t>Nautical Adviser to the Government of India</w:t>
      </w:r>
      <w:r w:rsidR="006048EC" w:rsidRPr="003C3292">
        <w:rPr>
          <w:rFonts w:ascii="Bookman Old Style" w:hAnsi="Bookman Old Style"/>
        </w:rPr>
        <w:t>, for the purpose of these rules to supplement the provisions to ensure that appropriate information on cargo</w:t>
      </w:r>
      <w:r w:rsidR="00D47DEF" w:rsidRPr="003C3292">
        <w:rPr>
          <w:rFonts w:ascii="Bookman Old Style" w:hAnsi="Bookman Old Style"/>
        </w:rPr>
        <w:t xml:space="preserve">, </w:t>
      </w:r>
      <w:r w:rsidR="006048EC" w:rsidRPr="003C3292">
        <w:rPr>
          <w:rFonts w:ascii="Bookman Old Style" w:hAnsi="Bookman Old Style"/>
        </w:rPr>
        <w:t xml:space="preserve">its stowage </w:t>
      </w:r>
      <w:r w:rsidR="00D47DEF" w:rsidRPr="003C3292">
        <w:rPr>
          <w:rFonts w:ascii="Bookman Old Style" w:hAnsi="Bookman Old Style"/>
        </w:rPr>
        <w:t>and securing is provided along with</w:t>
      </w:r>
      <w:r w:rsidR="006048EC" w:rsidRPr="003C3292">
        <w:rPr>
          <w:rFonts w:ascii="Bookman Old Style" w:hAnsi="Bookman Old Style"/>
        </w:rPr>
        <w:t xml:space="preserve"> specif</w:t>
      </w:r>
      <w:r w:rsidR="00D47DEF" w:rsidRPr="003C3292">
        <w:rPr>
          <w:rFonts w:ascii="Bookman Old Style" w:hAnsi="Bookman Old Style"/>
        </w:rPr>
        <w:t xml:space="preserve">ic </w:t>
      </w:r>
      <w:r w:rsidR="006048EC" w:rsidRPr="003C3292">
        <w:rPr>
          <w:rFonts w:ascii="Bookman Old Style" w:hAnsi="Bookman Old Style"/>
        </w:rPr>
        <w:t>precautions</w:t>
      </w:r>
      <w:r w:rsidR="003F72FF" w:rsidRPr="003C3292">
        <w:rPr>
          <w:rFonts w:ascii="Bookman Old Style" w:hAnsi="Bookman Old Style"/>
        </w:rPr>
        <w:t>,</w:t>
      </w:r>
      <w:r w:rsidR="00D47DEF" w:rsidRPr="003C3292">
        <w:rPr>
          <w:rFonts w:ascii="Bookman Old Style" w:hAnsi="Bookman Old Style"/>
        </w:rPr>
        <w:t xml:space="preserve"> where</w:t>
      </w:r>
      <w:r w:rsidR="006048EC" w:rsidRPr="003C3292">
        <w:rPr>
          <w:rFonts w:ascii="Bookman Old Style" w:hAnsi="Bookman Old Style"/>
        </w:rPr>
        <w:t xml:space="preserve"> necessary</w:t>
      </w:r>
      <w:r w:rsidR="003F72FF" w:rsidRPr="003C3292">
        <w:rPr>
          <w:rFonts w:ascii="Bookman Old Style" w:hAnsi="Bookman Old Style"/>
        </w:rPr>
        <w:t>,</w:t>
      </w:r>
      <w:r w:rsidR="006048EC" w:rsidRPr="003C3292">
        <w:rPr>
          <w:rFonts w:ascii="Bookman Old Style" w:hAnsi="Bookman Old Style"/>
        </w:rPr>
        <w:t xml:space="preserve"> for the safe carriage of such cargoes</w:t>
      </w:r>
      <w:r w:rsidR="00897660">
        <w:rPr>
          <w:rFonts w:ascii="Bookman Old Style" w:hAnsi="Bookman Old Style"/>
        </w:rPr>
        <w:t>.</w:t>
      </w:r>
    </w:p>
    <w:p w14:paraId="30FBE4FF" w14:textId="0A6CF654" w:rsidR="00AA3B11" w:rsidRPr="00E9469C" w:rsidRDefault="00C31416" w:rsidP="00E9469C">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bCs/>
        </w:rPr>
        <w:t>(</w:t>
      </w:r>
      <w:r w:rsidR="00B5596B">
        <w:rPr>
          <w:rFonts w:ascii="Bookman Old Style" w:hAnsi="Bookman Old Style"/>
          <w:bCs/>
        </w:rPr>
        <w:t>1</w:t>
      </w:r>
      <w:r w:rsidR="00E9469C">
        <w:rPr>
          <w:rFonts w:ascii="Bookman Old Style" w:hAnsi="Bookman Old Style"/>
          <w:bCs/>
        </w:rPr>
        <w:t>2</w:t>
      </w:r>
      <w:r w:rsidR="00476E9C" w:rsidRPr="003C3292">
        <w:rPr>
          <w:rFonts w:ascii="Bookman Old Style" w:hAnsi="Bookman Old Style"/>
          <w:bCs/>
        </w:rPr>
        <w:t>)</w:t>
      </w:r>
      <w:r w:rsidR="00F82539">
        <w:rPr>
          <w:rFonts w:ascii="Bookman Old Style" w:hAnsi="Bookman Old Style"/>
          <w:bCs/>
        </w:rPr>
        <w:t xml:space="preserve"> </w:t>
      </w:r>
      <w:r w:rsidR="00476E9C" w:rsidRPr="003C3292">
        <w:rPr>
          <w:rFonts w:ascii="Bookman Old Style" w:hAnsi="Bookman Old Style"/>
          <w:bCs/>
        </w:rPr>
        <w:t xml:space="preserve">“Container </w:t>
      </w:r>
      <w:r w:rsidR="00AB4647">
        <w:rPr>
          <w:rFonts w:ascii="Bookman Old Style" w:hAnsi="Bookman Old Style"/>
          <w:bCs/>
        </w:rPr>
        <w:t>S</w:t>
      </w:r>
      <w:r w:rsidR="00476E9C" w:rsidRPr="003C3292">
        <w:rPr>
          <w:rFonts w:ascii="Bookman Old Style" w:hAnsi="Bookman Old Style"/>
          <w:bCs/>
        </w:rPr>
        <w:t xml:space="preserve">afety </w:t>
      </w:r>
      <w:r w:rsidR="00AB4647">
        <w:rPr>
          <w:rFonts w:ascii="Bookman Old Style" w:hAnsi="Bookman Old Style"/>
          <w:bCs/>
        </w:rPr>
        <w:t>C</w:t>
      </w:r>
      <w:r w:rsidR="00476E9C" w:rsidRPr="003C3292">
        <w:rPr>
          <w:rFonts w:ascii="Bookman Old Style" w:hAnsi="Bookman Old Style"/>
          <w:bCs/>
        </w:rPr>
        <w:t>onvention</w:t>
      </w:r>
      <w:r w:rsidR="00452A90" w:rsidRPr="003C3292">
        <w:rPr>
          <w:rFonts w:ascii="Bookman Old Style" w:hAnsi="Bookman Old Style"/>
          <w:bCs/>
        </w:rPr>
        <w:t>”</w:t>
      </w:r>
      <w:r w:rsidR="00452A90" w:rsidRPr="003C3292">
        <w:rPr>
          <w:rFonts w:ascii="Bookman Old Style" w:hAnsi="Bookman Old Style"/>
        </w:rPr>
        <w:t xml:space="preserve"> </w:t>
      </w:r>
      <w:r w:rsidR="00294EEF">
        <w:rPr>
          <w:rFonts w:ascii="Bookman Old Style" w:hAnsi="Bookman Old Style"/>
        </w:rPr>
        <w:t>(</w:t>
      </w:r>
      <w:r w:rsidR="0053045E" w:rsidRPr="003C3292">
        <w:rPr>
          <w:rFonts w:ascii="Bookman Old Style" w:hAnsi="Bookman Old Style"/>
        </w:rPr>
        <w:t>CSC</w:t>
      </w:r>
      <w:r w:rsidR="00294EEF">
        <w:rPr>
          <w:rFonts w:ascii="Bookman Old Style" w:hAnsi="Bookman Old Style"/>
        </w:rPr>
        <w:t>)</w:t>
      </w:r>
      <w:r w:rsidR="0053045E" w:rsidRPr="003C3292">
        <w:rPr>
          <w:rFonts w:ascii="Bookman Old Style" w:hAnsi="Bookman Old Style"/>
        </w:rPr>
        <w:t xml:space="preserve"> </w:t>
      </w:r>
      <w:r w:rsidR="00452A90" w:rsidRPr="003C3292">
        <w:rPr>
          <w:rFonts w:ascii="Bookman Old Style" w:hAnsi="Bookman Old Style"/>
          <w:bCs/>
        </w:rPr>
        <w:t xml:space="preserve">means </w:t>
      </w:r>
      <w:r w:rsidR="00294EEF">
        <w:rPr>
          <w:rFonts w:ascii="Bookman Old Style" w:hAnsi="Bookman Old Style"/>
          <w:bCs/>
        </w:rPr>
        <w:t xml:space="preserve">the </w:t>
      </w:r>
      <w:r w:rsidR="0053045E" w:rsidRPr="003C3292">
        <w:rPr>
          <w:rFonts w:ascii="Bookman Old Style" w:hAnsi="Bookman Old Style"/>
          <w:bCs/>
        </w:rPr>
        <w:t xml:space="preserve">Convention </w:t>
      </w:r>
      <w:r w:rsidR="00294EEF">
        <w:rPr>
          <w:rFonts w:ascii="Bookman Old Style" w:hAnsi="Bookman Old Style"/>
          <w:bCs/>
        </w:rPr>
        <w:t>on</w:t>
      </w:r>
      <w:r w:rsidR="0053045E" w:rsidRPr="003C3292">
        <w:rPr>
          <w:rFonts w:ascii="Bookman Old Style" w:hAnsi="Bookman Old Style"/>
          <w:bCs/>
        </w:rPr>
        <w:t xml:space="preserve"> Safe Containers,</w:t>
      </w:r>
      <w:r w:rsidR="0091304F" w:rsidRPr="003C3292">
        <w:rPr>
          <w:rFonts w:ascii="Bookman Old Style" w:hAnsi="Bookman Old Style"/>
          <w:bCs/>
        </w:rPr>
        <w:t>1972,</w:t>
      </w:r>
      <w:r w:rsidR="009A699C" w:rsidRPr="003C3292">
        <w:rPr>
          <w:rFonts w:ascii="Bookman Old Style" w:hAnsi="Bookman Old Style"/>
          <w:bCs/>
        </w:rPr>
        <w:t xml:space="preserve"> </w:t>
      </w:r>
      <w:r w:rsidR="009A699C" w:rsidRPr="003C3292">
        <w:rPr>
          <w:rFonts w:ascii="Bookman Old Style" w:hAnsi="Bookman Old Style"/>
        </w:rPr>
        <w:t>adopted by the International Maritime Organization</w:t>
      </w:r>
      <w:r w:rsidR="003F72FF" w:rsidRPr="003C3292">
        <w:rPr>
          <w:rFonts w:ascii="Bookman Old Style" w:hAnsi="Bookman Old Style"/>
        </w:rPr>
        <w:t>,</w:t>
      </w:r>
      <w:r w:rsidR="009A699C" w:rsidRPr="003C3292">
        <w:rPr>
          <w:rFonts w:ascii="Bookman Old Style" w:hAnsi="Bookman Old Style"/>
        </w:rPr>
        <w:t xml:space="preserve"> as amended from time to time</w:t>
      </w:r>
      <w:r w:rsidR="00897660">
        <w:rPr>
          <w:rFonts w:ascii="Bookman Old Style" w:hAnsi="Bookman Old Style"/>
        </w:rPr>
        <w:t>.</w:t>
      </w:r>
      <w:r w:rsidR="00AA3B11" w:rsidRPr="003C3292">
        <w:rPr>
          <w:rFonts w:ascii="Bookman Old Style" w:hAnsi="Bookman Old Style"/>
        </w:rPr>
        <w:t xml:space="preserve">       </w:t>
      </w:r>
    </w:p>
    <w:p w14:paraId="4A8CEA52" w14:textId="30923243" w:rsidR="00C31416" w:rsidRPr="003C3292" w:rsidRDefault="00C31416" w:rsidP="007D6E38">
      <w:pPr>
        <w:autoSpaceDE w:val="0"/>
        <w:autoSpaceDN w:val="0"/>
        <w:adjustRightInd w:val="0"/>
        <w:snapToGrid w:val="0"/>
        <w:spacing w:before="120" w:after="120"/>
        <w:jc w:val="both"/>
        <w:rPr>
          <w:rFonts w:ascii="Bookman Old Style" w:hAnsi="Bookman Old Style"/>
        </w:rPr>
      </w:pPr>
      <w:r w:rsidRPr="003C3292">
        <w:rPr>
          <w:rFonts w:ascii="Bookman Old Style" w:hAnsi="Bookman Old Style"/>
        </w:rPr>
        <w:t>(</w:t>
      </w:r>
      <w:r w:rsidR="00B5596B">
        <w:rPr>
          <w:rFonts w:ascii="Bookman Old Style" w:hAnsi="Bookman Old Style"/>
        </w:rPr>
        <w:t>1</w:t>
      </w:r>
      <w:r w:rsidR="00E9469C">
        <w:rPr>
          <w:rFonts w:ascii="Bookman Old Style" w:hAnsi="Bookman Old Style"/>
        </w:rPr>
        <w:t>3</w:t>
      </w:r>
      <w:r w:rsidR="00056C4A" w:rsidRPr="003C3292">
        <w:rPr>
          <w:rFonts w:ascii="Bookman Old Style" w:hAnsi="Bookman Old Style"/>
        </w:rPr>
        <w:t xml:space="preserve">) </w:t>
      </w:r>
      <w:r w:rsidR="00724492" w:rsidRPr="003C3292">
        <w:rPr>
          <w:rFonts w:ascii="Bookman Old Style" w:hAnsi="Bookman Old Style"/>
        </w:rPr>
        <w:t>“Director General”</w:t>
      </w:r>
      <w:r w:rsidR="00724492" w:rsidRPr="003C3292">
        <w:rPr>
          <w:rFonts w:ascii="Bookman Old Style" w:hAnsi="Bookman Old Style"/>
          <w:b/>
          <w:bCs/>
        </w:rPr>
        <w:t xml:space="preserve"> </w:t>
      </w:r>
      <w:r w:rsidR="00724492" w:rsidRPr="003C3292">
        <w:rPr>
          <w:rFonts w:ascii="Bookman Old Style" w:hAnsi="Bookman Old Style"/>
        </w:rPr>
        <w:t>means the Director Gene</w:t>
      </w:r>
      <w:r w:rsidR="006048EC" w:rsidRPr="003C3292">
        <w:rPr>
          <w:rFonts w:ascii="Bookman Old Style" w:hAnsi="Bookman Old Style"/>
        </w:rPr>
        <w:t xml:space="preserve">ral of </w:t>
      </w:r>
      <w:r w:rsidR="00AC2B54">
        <w:rPr>
          <w:rFonts w:ascii="Bookman Old Style" w:hAnsi="Bookman Old Style"/>
        </w:rPr>
        <w:t xml:space="preserve">Maritime Administration </w:t>
      </w:r>
      <w:r w:rsidR="006048EC" w:rsidRPr="003C3292">
        <w:rPr>
          <w:rFonts w:ascii="Bookman Old Style" w:hAnsi="Bookman Old Style"/>
        </w:rPr>
        <w:t>appointed under</w:t>
      </w:r>
      <w:r w:rsidR="00056C4A" w:rsidRPr="003C3292">
        <w:rPr>
          <w:rFonts w:ascii="Bookman Old Style" w:hAnsi="Bookman Old Style"/>
        </w:rPr>
        <w:t xml:space="preserve"> </w:t>
      </w:r>
      <w:r w:rsidR="0036782D">
        <w:rPr>
          <w:rFonts w:ascii="Bookman Old Style" w:hAnsi="Bookman Old Style"/>
        </w:rPr>
        <w:t xml:space="preserve">Section 7(1) </w:t>
      </w:r>
      <w:r w:rsidR="00724492" w:rsidRPr="003C3292">
        <w:rPr>
          <w:rFonts w:ascii="Bookman Old Style" w:hAnsi="Bookman Old Style"/>
        </w:rPr>
        <w:t>of the</w:t>
      </w:r>
      <w:r w:rsidR="006048EC" w:rsidRPr="003C3292">
        <w:rPr>
          <w:rFonts w:ascii="Bookman Old Style" w:hAnsi="Bookman Old Style"/>
        </w:rPr>
        <w:t xml:space="preserve"> A</w:t>
      </w:r>
      <w:r w:rsidR="00724492" w:rsidRPr="003C3292">
        <w:rPr>
          <w:rFonts w:ascii="Bookman Old Style" w:hAnsi="Bookman Old Style"/>
        </w:rPr>
        <w:t>ct</w:t>
      </w:r>
      <w:r w:rsidR="006048EC" w:rsidRPr="003C3292">
        <w:rPr>
          <w:rFonts w:ascii="Bookman Old Style" w:hAnsi="Bookman Old Style"/>
        </w:rPr>
        <w:t xml:space="preserve"> </w:t>
      </w:r>
      <w:r w:rsidR="00724492" w:rsidRPr="003C3292">
        <w:rPr>
          <w:rFonts w:ascii="Bookman Old Style" w:hAnsi="Bookman Old Style"/>
        </w:rPr>
        <w:t>for the purpose of implementing and enforcing the provisions of these rules</w:t>
      </w:r>
      <w:r w:rsidR="00897660">
        <w:rPr>
          <w:rFonts w:ascii="Bookman Old Style" w:hAnsi="Bookman Old Style"/>
        </w:rPr>
        <w:t>.</w:t>
      </w:r>
    </w:p>
    <w:p w14:paraId="14DBFA67" w14:textId="488718D6" w:rsidR="00897660" w:rsidRDefault="003F55C9"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14</w:t>
      </w:r>
      <w:r w:rsidR="00AA3B11" w:rsidRPr="003C3292">
        <w:rPr>
          <w:rFonts w:ascii="Bookman Old Style" w:hAnsi="Bookman Old Style"/>
        </w:rPr>
        <w:t>)</w:t>
      </w:r>
      <w:r w:rsidR="00DD17E1" w:rsidRPr="003C3292">
        <w:rPr>
          <w:rFonts w:ascii="Bookman Old Style" w:hAnsi="Bookman Old Style"/>
        </w:rPr>
        <w:t xml:space="preserve"> </w:t>
      </w:r>
      <w:r w:rsidR="00AA3B11" w:rsidRPr="003C3292">
        <w:rPr>
          <w:rFonts w:ascii="Bookman Old Style" w:hAnsi="Bookman Old Style"/>
        </w:rPr>
        <w:t>"</w:t>
      </w:r>
      <w:r w:rsidR="00E43F17" w:rsidRPr="003C3292">
        <w:rPr>
          <w:rFonts w:ascii="Bookman Old Style" w:hAnsi="Bookman Old Style"/>
        </w:rPr>
        <w:t xml:space="preserve">International </w:t>
      </w:r>
      <w:r w:rsidR="00B40E1C" w:rsidRPr="003C3292">
        <w:rPr>
          <w:rFonts w:ascii="Bookman Old Style" w:hAnsi="Bookman Old Style"/>
        </w:rPr>
        <w:t>G</w:t>
      </w:r>
      <w:r w:rsidR="00AA3B11" w:rsidRPr="003C3292">
        <w:rPr>
          <w:rFonts w:ascii="Bookman Old Style" w:hAnsi="Bookman Old Style"/>
        </w:rPr>
        <w:t xml:space="preserve">rain </w:t>
      </w:r>
      <w:r w:rsidR="00897660">
        <w:rPr>
          <w:rFonts w:ascii="Bookman Old Style" w:hAnsi="Bookman Old Style"/>
        </w:rPr>
        <w:t>C</w:t>
      </w:r>
      <w:r w:rsidR="00AA3B11" w:rsidRPr="003C3292">
        <w:rPr>
          <w:rFonts w:ascii="Bookman Old Style" w:hAnsi="Bookman Old Style"/>
        </w:rPr>
        <w:t>ode</w:t>
      </w:r>
      <w:r w:rsidR="003A61EB" w:rsidRPr="003C3292">
        <w:rPr>
          <w:rFonts w:ascii="Bookman Old Style" w:hAnsi="Bookman Old Style"/>
        </w:rPr>
        <w:t>" or "G</w:t>
      </w:r>
      <w:r w:rsidR="00405F7F" w:rsidRPr="003C3292">
        <w:rPr>
          <w:rFonts w:ascii="Bookman Old Style" w:hAnsi="Bookman Old Style"/>
        </w:rPr>
        <w:t xml:space="preserve">rain </w:t>
      </w:r>
      <w:r w:rsidR="003A61EB" w:rsidRPr="003C3292">
        <w:rPr>
          <w:rFonts w:ascii="Bookman Old Style" w:hAnsi="Bookman Old Style"/>
        </w:rPr>
        <w:t>C</w:t>
      </w:r>
      <w:r w:rsidR="00405F7F" w:rsidRPr="003C3292">
        <w:rPr>
          <w:rFonts w:ascii="Bookman Old Style" w:hAnsi="Bookman Old Style"/>
        </w:rPr>
        <w:t>ode</w:t>
      </w:r>
      <w:r w:rsidR="00AA3B11" w:rsidRPr="003C3292">
        <w:rPr>
          <w:rFonts w:ascii="Bookman Old Style" w:hAnsi="Bookman Old Style"/>
        </w:rPr>
        <w:t xml:space="preserve">" means the </w:t>
      </w:r>
      <w:r w:rsidR="00897660">
        <w:rPr>
          <w:rFonts w:ascii="Bookman Old Style" w:hAnsi="Bookman Old Style"/>
        </w:rPr>
        <w:t>I</w:t>
      </w:r>
      <w:r w:rsidR="00AA3B11" w:rsidRPr="003C3292">
        <w:rPr>
          <w:rFonts w:ascii="Bookman Old Style" w:hAnsi="Bookman Old Style"/>
        </w:rPr>
        <w:t xml:space="preserve">nternational </w:t>
      </w:r>
      <w:r w:rsidR="00897660">
        <w:rPr>
          <w:rFonts w:ascii="Bookman Old Style" w:hAnsi="Bookman Old Style"/>
        </w:rPr>
        <w:t>C</w:t>
      </w:r>
      <w:r w:rsidR="00AA3B11" w:rsidRPr="003C3292">
        <w:rPr>
          <w:rFonts w:ascii="Bookman Old Style" w:hAnsi="Bookman Old Style"/>
        </w:rPr>
        <w:t xml:space="preserve">ode for the </w:t>
      </w:r>
      <w:r w:rsidR="00897660">
        <w:rPr>
          <w:rFonts w:ascii="Bookman Old Style" w:hAnsi="Bookman Old Style"/>
        </w:rPr>
        <w:t>S</w:t>
      </w:r>
      <w:r w:rsidR="00AA3B11" w:rsidRPr="003C3292">
        <w:rPr>
          <w:rFonts w:ascii="Bookman Old Style" w:hAnsi="Bookman Old Style"/>
        </w:rPr>
        <w:t xml:space="preserve">afe </w:t>
      </w:r>
      <w:r w:rsidR="00897660">
        <w:rPr>
          <w:rFonts w:ascii="Bookman Old Style" w:hAnsi="Bookman Old Style"/>
        </w:rPr>
        <w:t>C</w:t>
      </w:r>
      <w:r w:rsidR="00AA3B11" w:rsidRPr="003C3292">
        <w:rPr>
          <w:rFonts w:ascii="Bookman Old Style" w:hAnsi="Bookman Old Style"/>
        </w:rPr>
        <w:t xml:space="preserve">arriage of </w:t>
      </w:r>
      <w:r w:rsidR="00897660">
        <w:rPr>
          <w:rFonts w:ascii="Bookman Old Style" w:hAnsi="Bookman Old Style"/>
        </w:rPr>
        <w:t>G</w:t>
      </w:r>
      <w:r w:rsidR="00AA3B11" w:rsidRPr="003C3292">
        <w:rPr>
          <w:rFonts w:ascii="Bookman Old Style" w:hAnsi="Bookman Old Style"/>
        </w:rPr>
        <w:t xml:space="preserve">rain in </w:t>
      </w:r>
      <w:r w:rsidR="00897660">
        <w:rPr>
          <w:rFonts w:ascii="Bookman Old Style" w:hAnsi="Bookman Old Style"/>
        </w:rPr>
        <w:t>B</w:t>
      </w:r>
      <w:r w:rsidR="00AA3B11" w:rsidRPr="003C3292">
        <w:rPr>
          <w:rFonts w:ascii="Bookman Old Style" w:hAnsi="Bookman Old Style"/>
        </w:rPr>
        <w:t>ulk</w:t>
      </w:r>
      <w:r w:rsidR="007943DF" w:rsidRPr="003C3292">
        <w:rPr>
          <w:rFonts w:ascii="Bookman Old Style" w:hAnsi="Bookman Old Style"/>
        </w:rPr>
        <w:t>,</w:t>
      </w:r>
      <w:r w:rsidR="00AA3B11" w:rsidRPr="003C3292">
        <w:rPr>
          <w:rFonts w:ascii="Bookman Old Style" w:hAnsi="Bookman Old Style"/>
        </w:rPr>
        <w:t xml:space="preserve"> adopted by the International Maritime </w:t>
      </w:r>
      <w:r w:rsidR="00F12EBE" w:rsidRPr="003C3292">
        <w:rPr>
          <w:rFonts w:ascii="Bookman Old Style" w:hAnsi="Bookman Old Style"/>
        </w:rPr>
        <w:t>Organization</w:t>
      </w:r>
      <w:r w:rsidR="00575440">
        <w:rPr>
          <w:rFonts w:ascii="Bookman Old Style" w:hAnsi="Bookman Old Style"/>
        </w:rPr>
        <w:t xml:space="preserve"> by Resolution MS</w:t>
      </w:r>
      <w:r w:rsidR="00C5343F">
        <w:rPr>
          <w:rFonts w:ascii="Bookman Old Style" w:hAnsi="Bookman Old Style"/>
        </w:rPr>
        <w:t>C.23(59),</w:t>
      </w:r>
      <w:r w:rsidR="00AA3B11" w:rsidRPr="003C3292">
        <w:rPr>
          <w:rFonts w:ascii="Bookman Old Style" w:hAnsi="Bookman Old Style"/>
        </w:rPr>
        <w:t xml:space="preserve"> as amended</w:t>
      </w:r>
      <w:r w:rsidR="00897660">
        <w:rPr>
          <w:rFonts w:ascii="Bookman Old Style" w:hAnsi="Bookman Old Style"/>
        </w:rPr>
        <w:t>.</w:t>
      </w:r>
      <w:r w:rsidR="00AA3B11" w:rsidRPr="003C3292">
        <w:rPr>
          <w:rFonts w:ascii="Bookman Old Style" w:hAnsi="Bookman Old Style"/>
        </w:rPr>
        <w:t> </w:t>
      </w:r>
    </w:p>
    <w:p w14:paraId="16C609D6" w14:textId="1E603A4F" w:rsidR="00F43DAB" w:rsidRPr="003C3292" w:rsidRDefault="00F43DAB" w:rsidP="007D6E38">
      <w:pPr>
        <w:snapToGrid w:val="0"/>
        <w:spacing w:before="120" w:after="120"/>
        <w:jc w:val="both"/>
        <w:rPr>
          <w:rFonts w:ascii="Bookman Old Style" w:hAnsi="Bookman Old Style"/>
        </w:rPr>
      </w:pPr>
      <w:r>
        <w:rPr>
          <w:rFonts w:ascii="Bookman Old Style" w:hAnsi="Bookman Old Style"/>
        </w:rPr>
        <w:t>(</w:t>
      </w:r>
      <w:r w:rsidR="00E9469C">
        <w:rPr>
          <w:rFonts w:ascii="Bookman Old Style" w:hAnsi="Bookman Old Style"/>
        </w:rPr>
        <w:t>15</w:t>
      </w:r>
      <w:r>
        <w:rPr>
          <w:rFonts w:ascii="Bookman Old Style" w:hAnsi="Bookman Old Style"/>
        </w:rPr>
        <w:t xml:space="preserve">) The term “Grain” includes wheat, maize (corn), oats, rye, barley, rice, pulses, seeds, and processed forms thereof, whose behaviour is </w:t>
      </w:r>
      <w:proofErr w:type="gramStart"/>
      <w:r>
        <w:rPr>
          <w:rFonts w:ascii="Bookman Old Style" w:hAnsi="Bookman Old Style"/>
        </w:rPr>
        <w:t>similar to</w:t>
      </w:r>
      <w:proofErr w:type="gramEnd"/>
      <w:r>
        <w:rPr>
          <w:rFonts w:ascii="Bookman Old Style" w:hAnsi="Bookman Old Style"/>
        </w:rPr>
        <w:t xml:space="preserve"> that of grain in its natural state.  </w:t>
      </w:r>
    </w:p>
    <w:p w14:paraId="30DB8DBC" w14:textId="1DA27CF1" w:rsidR="00AA3B11" w:rsidRPr="00AB4647" w:rsidRDefault="00AA3B11" w:rsidP="007D6E38">
      <w:pPr>
        <w:snapToGrid w:val="0"/>
        <w:spacing w:before="120" w:after="120"/>
        <w:jc w:val="both"/>
        <w:rPr>
          <w:rFonts w:ascii="Bookman Old Style" w:hAnsi="Bookman Old Style"/>
          <w:color w:val="000000" w:themeColor="text1"/>
        </w:rPr>
      </w:pPr>
      <w:r w:rsidRPr="00AB4647">
        <w:rPr>
          <w:rFonts w:ascii="Bookman Old Style" w:hAnsi="Bookman Old Style"/>
          <w:color w:val="000000" w:themeColor="text1"/>
        </w:rPr>
        <w:t>(</w:t>
      </w:r>
      <w:r w:rsidR="00E9469C">
        <w:rPr>
          <w:rFonts w:ascii="Bookman Old Style" w:hAnsi="Bookman Old Style"/>
          <w:color w:val="000000" w:themeColor="text1"/>
        </w:rPr>
        <w:t>16</w:t>
      </w:r>
      <w:r w:rsidRPr="00AB4647">
        <w:rPr>
          <w:rFonts w:ascii="Bookman Old Style" w:hAnsi="Bookman Old Style"/>
          <w:color w:val="000000" w:themeColor="text1"/>
        </w:rPr>
        <w:t>)</w:t>
      </w:r>
      <w:r w:rsidR="00DD17E1" w:rsidRPr="00AB4647">
        <w:rPr>
          <w:rFonts w:ascii="Bookman Old Style" w:hAnsi="Bookman Old Style"/>
          <w:color w:val="000000" w:themeColor="text1"/>
        </w:rPr>
        <w:t xml:space="preserve"> </w:t>
      </w:r>
      <w:r w:rsidR="00CD2DA8" w:rsidRPr="00AB4647">
        <w:rPr>
          <w:rFonts w:ascii="Bookman Old Style" w:hAnsi="Bookman Old Style"/>
          <w:color w:val="000000" w:themeColor="text1"/>
        </w:rPr>
        <w:t>"</w:t>
      </w:r>
      <w:r w:rsidRPr="00AB4647">
        <w:rPr>
          <w:rFonts w:ascii="Bookman Old Style" w:hAnsi="Bookman Old Style"/>
          <w:color w:val="000000" w:themeColor="text1"/>
        </w:rPr>
        <w:t>MARPOL</w:t>
      </w:r>
      <w:r w:rsidR="00736D0A" w:rsidRPr="00AB4647">
        <w:rPr>
          <w:rFonts w:ascii="Bookman Old Style" w:hAnsi="Bookman Old Style"/>
          <w:color w:val="000000" w:themeColor="text1"/>
        </w:rPr>
        <w:t xml:space="preserve"> 73/78</w:t>
      </w:r>
      <w:r w:rsidRPr="00AB4647">
        <w:rPr>
          <w:rFonts w:ascii="Bookman Old Style" w:hAnsi="Bookman Old Style"/>
          <w:color w:val="000000" w:themeColor="text1"/>
        </w:rPr>
        <w:t xml:space="preserve"> Convention" means th</w:t>
      </w:r>
      <w:r w:rsidR="0014118F" w:rsidRPr="00AB4647">
        <w:rPr>
          <w:rFonts w:ascii="Bookman Old Style" w:hAnsi="Bookman Old Style"/>
          <w:color w:val="000000" w:themeColor="text1"/>
        </w:rPr>
        <w:t>e International Convention for Prevention of P</w:t>
      </w:r>
      <w:r w:rsidRPr="00AB4647">
        <w:rPr>
          <w:rFonts w:ascii="Bookman Old Style" w:hAnsi="Bookman Old Style"/>
          <w:color w:val="000000" w:themeColor="text1"/>
        </w:rPr>
        <w:t>oll</w:t>
      </w:r>
      <w:r w:rsidR="0014118F" w:rsidRPr="00AB4647">
        <w:rPr>
          <w:rFonts w:ascii="Bookman Old Style" w:hAnsi="Bookman Old Style"/>
          <w:color w:val="000000" w:themeColor="text1"/>
        </w:rPr>
        <w:t>ution from S</w:t>
      </w:r>
      <w:r w:rsidRPr="00AB4647">
        <w:rPr>
          <w:rFonts w:ascii="Bookman Old Style" w:hAnsi="Bookman Old Style"/>
          <w:color w:val="000000" w:themeColor="text1"/>
        </w:rPr>
        <w:t>hips</w:t>
      </w:r>
      <w:r w:rsidR="00F271A2">
        <w:rPr>
          <w:rFonts w:ascii="Bookman Old Style" w:hAnsi="Bookman Old Style"/>
          <w:color w:val="000000" w:themeColor="text1"/>
        </w:rPr>
        <w:t>,</w:t>
      </w:r>
      <w:r w:rsidRPr="00AB4647">
        <w:rPr>
          <w:rFonts w:ascii="Bookman Old Style" w:hAnsi="Bookman Old Style"/>
          <w:color w:val="000000" w:themeColor="text1"/>
        </w:rPr>
        <w:t xml:space="preserve"> in force</w:t>
      </w:r>
      <w:r w:rsidR="00F271A2">
        <w:rPr>
          <w:rFonts w:ascii="Bookman Old Style" w:hAnsi="Bookman Old Style"/>
          <w:color w:val="000000" w:themeColor="text1"/>
        </w:rPr>
        <w:t>,</w:t>
      </w:r>
      <w:r w:rsidRPr="00AB4647">
        <w:rPr>
          <w:rFonts w:ascii="Bookman Old Style" w:hAnsi="Bookman Old Style"/>
          <w:color w:val="000000" w:themeColor="text1"/>
        </w:rPr>
        <w:t xml:space="preserve"> including its protocol adopted by the </w:t>
      </w:r>
      <w:r w:rsidR="00F271A2">
        <w:rPr>
          <w:rFonts w:ascii="Bookman Old Style" w:hAnsi="Bookman Old Style"/>
          <w:color w:val="000000" w:themeColor="text1"/>
        </w:rPr>
        <w:t>International Maritime Organization</w:t>
      </w:r>
      <w:r w:rsidR="002C262E" w:rsidRPr="00AB4647">
        <w:rPr>
          <w:rFonts w:ascii="Bookman Old Style" w:hAnsi="Bookman Old Style"/>
          <w:color w:val="000000" w:themeColor="text1"/>
        </w:rPr>
        <w:t>,</w:t>
      </w:r>
      <w:r w:rsidRPr="00AB4647">
        <w:rPr>
          <w:rFonts w:ascii="Bookman Old Style" w:hAnsi="Bookman Old Style"/>
          <w:color w:val="000000" w:themeColor="text1"/>
        </w:rPr>
        <w:t xml:space="preserve"> as amended from time to time</w:t>
      </w:r>
      <w:r w:rsidR="00F271A2">
        <w:rPr>
          <w:rFonts w:ascii="Bookman Old Style" w:hAnsi="Bookman Old Style"/>
          <w:color w:val="000000" w:themeColor="text1"/>
        </w:rPr>
        <w:t>.</w:t>
      </w:r>
      <w:r w:rsidRPr="00AB4647">
        <w:rPr>
          <w:rFonts w:ascii="Bookman Old Style" w:hAnsi="Bookman Old Style"/>
          <w:color w:val="000000" w:themeColor="text1"/>
        </w:rPr>
        <w:t> </w:t>
      </w:r>
    </w:p>
    <w:p w14:paraId="71D926B5" w14:textId="45083D8A" w:rsidR="004A395D" w:rsidRPr="00060A79" w:rsidRDefault="004A395D" w:rsidP="007D6E38">
      <w:pPr>
        <w:snapToGrid w:val="0"/>
        <w:spacing w:before="120" w:after="120"/>
        <w:jc w:val="both"/>
        <w:rPr>
          <w:rFonts w:ascii="Bookman Old Style" w:hAnsi="Bookman Old Style"/>
          <w:strike/>
        </w:rPr>
      </w:pPr>
      <w:r w:rsidRPr="003C3292">
        <w:rPr>
          <w:rFonts w:ascii="Bookman Old Style" w:hAnsi="Bookman Old Style"/>
        </w:rPr>
        <w:t>(</w:t>
      </w:r>
      <w:r w:rsidR="00E9469C">
        <w:rPr>
          <w:rFonts w:ascii="Bookman Old Style" w:hAnsi="Bookman Old Style"/>
        </w:rPr>
        <w:t>17</w:t>
      </w:r>
      <w:r w:rsidRPr="003C3292">
        <w:rPr>
          <w:rFonts w:ascii="Bookman Old Style" w:hAnsi="Bookman Old Style"/>
        </w:rPr>
        <w:t>)</w:t>
      </w:r>
      <w:r w:rsidR="00B518D1" w:rsidRPr="003C3292">
        <w:rPr>
          <w:rFonts w:ascii="Bookman Old Style" w:hAnsi="Bookman Old Style"/>
        </w:rPr>
        <w:t xml:space="preserve"> T</w:t>
      </w:r>
      <w:r w:rsidR="008B3199" w:rsidRPr="003C3292">
        <w:rPr>
          <w:rFonts w:ascii="Bookman Old Style" w:hAnsi="Bookman Old Style"/>
        </w:rPr>
        <w:t>erm "</w:t>
      </w:r>
      <w:r w:rsidR="00693566">
        <w:rPr>
          <w:rFonts w:ascii="Bookman Old Style" w:hAnsi="Bookman Old Style"/>
        </w:rPr>
        <w:t>n</w:t>
      </w:r>
      <w:r w:rsidR="008B3199" w:rsidRPr="003C3292">
        <w:rPr>
          <w:rFonts w:ascii="Bookman Old Style" w:hAnsi="Bookman Old Style"/>
        </w:rPr>
        <w:t xml:space="preserve">otice" </w:t>
      </w:r>
      <w:r w:rsidR="00597618" w:rsidRPr="003C3292">
        <w:rPr>
          <w:rFonts w:ascii="Bookman Old Style" w:hAnsi="Bookman Old Style"/>
        </w:rPr>
        <w:t>includes a</w:t>
      </w:r>
      <w:r w:rsidRPr="003C3292">
        <w:rPr>
          <w:rFonts w:ascii="Bookman Old Style" w:hAnsi="Bookman Old Style"/>
        </w:rPr>
        <w:t xml:space="preserve"> Merchant Shipping (MS) Notice, D</w:t>
      </w:r>
      <w:r w:rsidR="00E9469C">
        <w:rPr>
          <w:rFonts w:ascii="Bookman Old Style" w:hAnsi="Bookman Old Style"/>
        </w:rPr>
        <w:t xml:space="preserve">irectorate General of </w:t>
      </w:r>
      <w:r w:rsidR="00693566">
        <w:rPr>
          <w:rFonts w:ascii="Bookman Old Style" w:hAnsi="Bookman Old Style"/>
        </w:rPr>
        <w:t xml:space="preserve">Maritime Administration </w:t>
      </w:r>
      <w:r w:rsidRPr="003C3292">
        <w:rPr>
          <w:rFonts w:ascii="Bookman Old Style" w:hAnsi="Bookman Old Style"/>
        </w:rPr>
        <w:t>Order or Departmental Circu</w:t>
      </w:r>
      <w:r w:rsidR="00DA5979" w:rsidRPr="003C3292">
        <w:rPr>
          <w:rFonts w:ascii="Bookman Old Style" w:hAnsi="Bookman Old Style"/>
        </w:rPr>
        <w:t>lar, issued from time to time</w:t>
      </w:r>
      <w:r w:rsidR="00AB4647">
        <w:rPr>
          <w:rFonts w:ascii="Bookman Old Style" w:hAnsi="Bookman Old Style"/>
        </w:rPr>
        <w:t>.</w:t>
      </w:r>
    </w:p>
    <w:p w14:paraId="32AEDD8C" w14:textId="6C379CF6" w:rsidR="00F856C8" w:rsidRPr="003C3292" w:rsidRDefault="007D6E38" w:rsidP="007D6E38">
      <w:pPr>
        <w:pStyle w:val="Heading2"/>
        <w:shd w:val="clear" w:color="auto" w:fill="FFFFFF"/>
        <w:snapToGrid w:val="0"/>
        <w:spacing w:before="120" w:after="120"/>
        <w:jc w:val="both"/>
        <w:rPr>
          <w:rFonts w:ascii="Bookman Old Style" w:hAnsi="Bookman Old Style"/>
          <w:b w:val="0"/>
          <w:bCs w:val="0"/>
          <w:i w:val="0"/>
          <w:iCs w:val="0"/>
          <w:sz w:val="24"/>
          <w:szCs w:val="24"/>
        </w:rPr>
      </w:pPr>
      <w:r w:rsidRPr="007D6E38">
        <w:rPr>
          <w:rFonts w:ascii="Bookman Old Style" w:hAnsi="Bookman Old Style"/>
          <w:b w:val="0"/>
          <w:bCs w:val="0"/>
          <w:i w:val="0"/>
          <w:iCs w:val="0"/>
          <w:sz w:val="24"/>
          <w:szCs w:val="24"/>
        </w:rPr>
        <w:lastRenderedPageBreak/>
        <w:t>(</w:t>
      </w:r>
      <w:r w:rsidR="00E9469C">
        <w:rPr>
          <w:rFonts w:ascii="Bookman Old Style" w:hAnsi="Bookman Old Style"/>
          <w:b w:val="0"/>
          <w:bCs w:val="0"/>
          <w:i w:val="0"/>
          <w:iCs w:val="0"/>
          <w:sz w:val="24"/>
          <w:szCs w:val="24"/>
        </w:rPr>
        <w:t>18</w:t>
      </w:r>
      <w:r w:rsidRPr="007D6E38">
        <w:rPr>
          <w:rFonts w:ascii="Bookman Old Style" w:hAnsi="Bookman Old Style"/>
          <w:b w:val="0"/>
          <w:bCs w:val="0"/>
          <w:i w:val="0"/>
          <w:iCs w:val="0"/>
          <w:sz w:val="24"/>
          <w:szCs w:val="24"/>
        </w:rPr>
        <w:t>)</w:t>
      </w:r>
      <w:r>
        <w:rPr>
          <w:rFonts w:ascii="Bookman Old Style" w:hAnsi="Bookman Old Style"/>
          <w:b w:val="0"/>
          <w:bCs w:val="0"/>
          <w:i w:val="0"/>
          <w:iCs w:val="0"/>
          <w:sz w:val="24"/>
          <w:szCs w:val="24"/>
        </w:rPr>
        <w:t xml:space="preserve"> </w:t>
      </w:r>
      <w:r w:rsidR="00C72A54" w:rsidRPr="003C3292">
        <w:rPr>
          <w:rFonts w:ascii="Bookman Old Style" w:hAnsi="Bookman Old Style"/>
          <w:b w:val="0"/>
          <w:bCs w:val="0"/>
          <w:i w:val="0"/>
          <w:iCs w:val="0"/>
          <w:sz w:val="24"/>
          <w:szCs w:val="24"/>
        </w:rPr>
        <w:t>"</w:t>
      </w:r>
      <w:r w:rsidR="00F856C8" w:rsidRPr="003C3292">
        <w:rPr>
          <w:rFonts w:ascii="Bookman Old Style" w:hAnsi="Bookman Old Style"/>
          <w:b w:val="0"/>
          <w:bCs w:val="0"/>
          <w:i w:val="0"/>
          <w:iCs w:val="0"/>
          <w:sz w:val="24"/>
          <w:szCs w:val="24"/>
        </w:rPr>
        <w:t>Organization</w:t>
      </w:r>
      <w:r w:rsidR="00C72A54" w:rsidRPr="003C3292">
        <w:rPr>
          <w:rFonts w:ascii="Bookman Old Style" w:hAnsi="Bookman Old Style"/>
          <w:b w:val="0"/>
          <w:bCs w:val="0"/>
          <w:i w:val="0"/>
          <w:iCs w:val="0"/>
          <w:sz w:val="24"/>
          <w:szCs w:val="24"/>
        </w:rPr>
        <w:t>"</w:t>
      </w:r>
      <w:r w:rsidR="00F856C8" w:rsidRPr="003C3292">
        <w:rPr>
          <w:rFonts w:ascii="Bookman Old Style" w:hAnsi="Bookman Old Style"/>
          <w:b w:val="0"/>
          <w:bCs w:val="0"/>
          <w:i w:val="0"/>
          <w:iCs w:val="0"/>
          <w:sz w:val="24"/>
          <w:szCs w:val="24"/>
        </w:rPr>
        <w:t xml:space="preserve"> means the International Maritime Organization (IMO) – </w:t>
      </w:r>
      <w:r w:rsidR="00C72A54" w:rsidRPr="003C3292">
        <w:rPr>
          <w:rFonts w:ascii="Bookman Old Style" w:hAnsi="Bookman Old Style"/>
          <w:b w:val="0"/>
          <w:bCs w:val="0"/>
          <w:i w:val="0"/>
          <w:iCs w:val="0"/>
          <w:sz w:val="24"/>
          <w:szCs w:val="24"/>
        </w:rPr>
        <w:t>a</w:t>
      </w:r>
      <w:r w:rsidR="00F856C8" w:rsidRPr="003C3292">
        <w:rPr>
          <w:rFonts w:ascii="Bookman Old Style" w:hAnsi="Bookman Old Style"/>
          <w:b w:val="0"/>
          <w:bCs w:val="0"/>
          <w:i w:val="0"/>
          <w:iCs w:val="0"/>
          <w:sz w:val="24"/>
          <w:szCs w:val="24"/>
        </w:rPr>
        <w:t xml:space="preserve"> United Nation</w:t>
      </w:r>
      <w:r w:rsidR="00C72A54" w:rsidRPr="003C3292">
        <w:rPr>
          <w:rFonts w:ascii="Bookman Old Style" w:hAnsi="Bookman Old Style"/>
          <w:b w:val="0"/>
          <w:bCs w:val="0"/>
          <w:i w:val="0"/>
          <w:iCs w:val="0"/>
          <w:sz w:val="24"/>
          <w:szCs w:val="24"/>
        </w:rPr>
        <w:t>'</w:t>
      </w:r>
      <w:r w:rsidR="00F856C8" w:rsidRPr="003C3292">
        <w:rPr>
          <w:rFonts w:ascii="Bookman Old Style" w:hAnsi="Bookman Old Style"/>
          <w:b w:val="0"/>
          <w:bCs w:val="0"/>
          <w:i w:val="0"/>
          <w:iCs w:val="0"/>
          <w:sz w:val="24"/>
          <w:szCs w:val="24"/>
        </w:rPr>
        <w:t>s specialized agency with responsibility for the safety and security of shipping and the prevention of marine pollution by ships</w:t>
      </w:r>
      <w:r w:rsidR="00F271A2">
        <w:rPr>
          <w:rFonts w:ascii="Bookman Old Style" w:hAnsi="Bookman Old Style"/>
          <w:b w:val="0"/>
          <w:bCs w:val="0"/>
          <w:i w:val="0"/>
          <w:iCs w:val="0"/>
          <w:sz w:val="24"/>
          <w:szCs w:val="24"/>
        </w:rPr>
        <w:t>.</w:t>
      </w:r>
    </w:p>
    <w:p w14:paraId="41414639" w14:textId="4D4FADEF" w:rsidR="00EC5FBB" w:rsidRPr="005D40D8" w:rsidRDefault="00EC5FBB" w:rsidP="007D6E38">
      <w:pPr>
        <w:snapToGrid w:val="0"/>
        <w:spacing w:before="120" w:after="120"/>
        <w:jc w:val="both"/>
        <w:rPr>
          <w:rFonts w:ascii="Bookman Old Style" w:hAnsi="Bookman Old Style"/>
          <w:color w:val="000000" w:themeColor="text1"/>
        </w:rPr>
      </w:pPr>
      <w:r>
        <w:rPr>
          <w:rFonts w:ascii="Bookman Old Style" w:hAnsi="Bookman Old Style"/>
        </w:rPr>
        <w:t>(</w:t>
      </w:r>
      <w:r w:rsidR="00E9469C">
        <w:rPr>
          <w:rFonts w:ascii="Bookman Old Style" w:hAnsi="Bookman Old Style"/>
        </w:rPr>
        <w:t>19</w:t>
      </w:r>
      <w:r>
        <w:rPr>
          <w:rFonts w:ascii="Bookman Old Style" w:hAnsi="Bookman Old Style"/>
        </w:rPr>
        <w:t xml:space="preserve">) </w:t>
      </w:r>
      <w:r w:rsidRPr="003C3292">
        <w:rPr>
          <w:rFonts w:ascii="Bookman Old Style" w:hAnsi="Bookman Old Style"/>
        </w:rPr>
        <w:t>“Pour” means quantity of cargo poured through one hatch opening as one step in the loading plan i.e. from the time the spout is positioned over hatch opening until it is moved to another hatch opening</w:t>
      </w:r>
      <w:r w:rsidR="00C5343F">
        <w:rPr>
          <w:rFonts w:ascii="Bookman Old Style" w:hAnsi="Bookman Old Style"/>
        </w:rPr>
        <w:t>.</w:t>
      </w:r>
    </w:p>
    <w:p w14:paraId="773A3F0A" w14:textId="6037717E" w:rsidR="00A95C17" w:rsidRDefault="00CD2DA8" w:rsidP="007D6E38">
      <w:pPr>
        <w:snapToGrid w:val="0"/>
        <w:spacing w:before="120" w:after="120"/>
        <w:jc w:val="both"/>
        <w:rPr>
          <w:rFonts w:ascii="Bookman Old Style" w:hAnsi="Bookman Old Style"/>
        </w:rPr>
      </w:pPr>
      <w:r w:rsidRPr="005D40D8">
        <w:rPr>
          <w:rFonts w:ascii="Bookman Old Style" w:hAnsi="Bookman Old Style"/>
          <w:color w:val="000000" w:themeColor="text1"/>
        </w:rPr>
        <w:t>(</w:t>
      </w:r>
      <w:r w:rsidR="00E9469C">
        <w:rPr>
          <w:rFonts w:ascii="Bookman Old Style" w:hAnsi="Bookman Old Style"/>
          <w:color w:val="000000" w:themeColor="text1"/>
        </w:rPr>
        <w:t>20</w:t>
      </w:r>
      <w:r w:rsidR="003C0662" w:rsidRPr="005D40D8">
        <w:rPr>
          <w:rFonts w:ascii="Bookman Old Style" w:hAnsi="Bookman Old Style"/>
          <w:color w:val="000000" w:themeColor="text1"/>
        </w:rPr>
        <w:t>) "Recommendation of the Organization"</w:t>
      </w:r>
      <w:r w:rsidR="009E794A" w:rsidRPr="005D40D8">
        <w:rPr>
          <w:rFonts w:ascii="Bookman Old Style" w:hAnsi="Bookman Old Style"/>
          <w:color w:val="000000" w:themeColor="text1"/>
        </w:rPr>
        <w:t xml:space="preserve"> or "Recommended by </w:t>
      </w:r>
      <w:r w:rsidR="009E794A" w:rsidRPr="003C3292">
        <w:rPr>
          <w:rFonts w:ascii="Bookman Old Style" w:hAnsi="Bookman Old Style"/>
        </w:rPr>
        <w:t>Organization"</w:t>
      </w:r>
      <w:r w:rsidR="008A0CAB" w:rsidRPr="003C3292">
        <w:rPr>
          <w:rFonts w:ascii="Bookman Old Style" w:hAnsi="Bookman Old Style"/>
        </w:rPr>
        <w:t xml:space="preserve"> includes its </w:t>
      </w:r>
      <w:r w:rsidR="003C0662" w:rsidRPr="003C3292">
        <w:rPr>
          <w:rFonts w:ascii="Bookman Old Style" w:hAnsi="Bookman Old Style"/>
        </w:rPr>
        <w:t>assembly or</w:t>
      </w:r>
      <w:r w:rsidR="008A0CAB" w:rsidRPr="003C3292">
        <w:rPr>
          <w:rFonts w:ascii="Bookman Old Style" w:hAnsi="Bookman Old Style"/>
        </w:rPr>
        <w:t xml:space="preserve"> its</w:t>
      </w:r>
      <w:r w:rsidR="003C0662" w:rsidRPr="003C3292">
        <w:rPr>
          <w:rFonts w:ascii="Bookman Old Style" w:hAnsi="Bookman Old Style"/>
        </w:rPr>
        <w:t xml:space="preserve"> committee resolution</w:t>
      </w:r>
      <w:r w:rsidR="00E4580D" w:rsidRPr="003C3292">
        <w:rPr>
          <w:rFonts w:ascii="Bookman Old Style" w:hAnsi="Bookman Old Style"/>
        </w:rPr>
        <w:t xml:space="preserve"> or</w:t>
      </w:r>
      <w:r w:rsidR="007E0963" w:rsidRPr="003C3292">
        <w:rPr>
          <w:rFonts w:ascii="Bookman Old Style" w:hAnsi="Bookman Old Style"/>
        </w:rPr>
        <w:t xml:space="preserve"> its</w:t>
      </w:r>
      <w:r w:rsidR="00E4580D" w:rsidRPr="003C3292">
        <w:rPr>
          <w:rFonts w:ascii="Bookman Old Style" w:hAnsi="Bookman Old Style"/>
        </w:rPr>
        <w:t xml:space="preserve"> circular,</w:t>
      </w:r>
      <w:r w:rsidR="009E794A" w:rsidRPr="003C3292">
        <w:rPr>
          <w:rFonts w:ascii="Bookman Old Style" w:hAnsi="Bookman Old Style"/>
        </w:rPr>
        <w:t xml:space="preserve"> </w:t>
      </w:r>
      <w:r w:rsidR="00C5343F">
        <w:rPr>
          <w:rFonts w:ascii="Bookman Old Style" w:hAnsi="Bookman Old Style"/>
        </w:rPr>
        <w:t xml:space="preserve">as </w:t>
      </w:r>
      <w:r w:rsidR="009E794A" w:rsidRPr="003C3292">
        <w:rPr>
          <w:rFonts w:ascii="Bookman Old Style" w:hAnsi="Bookman Old Style"/>
        </w:rPr>
        <w:t>adopted by the O</w:t>
      </w:r>
      <w:r w:rsidR="003C0662" w:rsidRPr="003C3292">
        <w:rPr>
          <w:rFonts w:ascii="Bookman Old Style" w:hAnsi="Bookman Old Style"/>
        </w:rPr>
        <w:t xml:space="preserve">rganization. </w:t>
      </w:r>
    </w:p>
    <w:p w14:paraId="4218F050" w14:textId="2898EBC9" w:rsidR="00AA3B11" w:rsidRPr="003C3292" w:rsidRDefault="003F55C9"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21</w:t>
      </w:r>
      <w:r w:rsidR="00166303" w:rsidRPr="003C3292">
        <w:rPr>
          <w:rFonts w:ascii="Bookman Old Style" w:hAnsi="Bookman Old Style"/>
        </w:rPr>
        <w:t>) </w:t>
      </w:r>
      <w:r w:rsidR="00AA3B11" w:rsidRPr="003C3292">
        <w:rPr>
          <w:rFonts w:ascii="Bookman Old Style" w:hAnsi="Bookman Old Style"/>
        </w:rPr>
        <w:t>"SOLAS Convention"</w:t>
      </w:r>
      <w:r w:rsidR="00517BE6" w:rsidRPr="003C3292">
        <w:rPr>
          <w:rFonts w:ascii="Bookman Old Style" w:hAnsi="Bookman Old Style"/>
        </w:rPr>
        <w:t xml:space="preserve"> or "SOLAS"</w:t>
      </w:r>
      <w:r w:rsidR="00AA3B11" w:rsidRPr="003C3292">
        <w:rPr>
          <w:rFonts w:ascii="Bookman Old Style" w:hAnsi="Bookman Old Style"/>
        </w:rPr>
        <w:t xml:space="preserve"> means the International Convention for Safety of Life at Sea</w:t>
      </w:r>
      <w:r w:rsidR="00517BE6" w:rsidRPr="003C3292">
        <w:rPr>
          <w:rFonts w:ascii="Bookman Old Style" w:hAnsi="Bookman Old Style"/>
        </w:rPr>
        <w:t xml:space="preserve">, </w:t>
      </w:r>
      <w:r w:rsidR="006C5214" w:rsidRPr="003C3292">
        <w:rPr>
          <w:rFonts w:ascii="Bookman Old Style" w:hAnsi="Bookman Old Style"/>
        </w:rPr>
        <w:t>1974</w:t>
      </w:r>
      <w:r w:rsidR="009F64A1" w:rsidRPr="003C3292">
        <w:rPr>
          <w:rFonts w:ascii="Bookman Old Style" w:hAnsi="Bookman Old Style"/>
        </w:rPr>
        <w:t>,</w:t>
      </w:r>
      <w:r w:rsidR="00AA3B11" w:rsidRPr="003C3292">
        <w:rPr>
          <w:rFonts w:ascii="Bookman Old Style" w:hAnsi="Bookman Old Style"/>
        </w:rPr>
        <w:t xml:space="preserve"> in force including its protocols adopted by the International Maritime </w:t>
      </w:r>
      <w:r w:rsidR="00F12EBE" w:rsidRPr="003C3292">
        <w:rPr>
          <w:rFonts w:ascii="Bookman Old Style" w:hAnsi="Bookman Old Style"/>
        </w:rPr>
        <w:t>Organization</w:t>
      </w:r>
      <w:r w:rsidR="00AA3B11" w:rsidRPr="003C3292">
        <w:rPr>
          <w:rFonts w:ascii="Bookman Old Style" w:hAnsi="Bookman Old Style"/>
        </w:rPr>
        <w:t xml:space="preserve"> and as amended from time to time</w:t>
      </w:r>
      <w:r w:rsidR="00A95C17">
        <w:rPr>
          <w:rFonts w:ascii="Bookman Old Style" w:hAnsi="Bookman Old Style"/>
        </w:rPr>
        <w:t>.</w:t>
      </w:r>
    </w:p>
    <w:p w14:paraId="51C7F358" w14:textId="77258447" w:rsidR="007E5B66" w:rsidRPr="003C3292" w:rsidRDefault="003F55C9"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22</w:t>
      </w:r>
      <w:r w:rsidR="002A7D53" w:rsidRPr="003C3292">
        <w:rPr>
          <w:rFonts w:ascii="Bookman Old Style" w:hAnsi="Bookman Old Style"/>
        </w:rPr>
        <w:t>) “Solid Bulk Cargo” means any</w:t>
      </w:r>
      <w:r w:rsidR="007A231E" w:rsidRPr="003C3292">
        <w:rPr>
          <w:rFonts w:ascii="Bookman Old Style" w:hAnsi="Bookman Old Style"/>
        </w:rPr>
        <w:t xml:space="preserve"> cargo,</w:t>
      </w:r>
      <w:r w:rsidR="002A7D53" w:rsidRPr="003C3292">
        <w:rPr>
          <w:rFonts w:ascii="Bookman Old Style" w:hAnsi="Bookman Old Style"/>
        </w:rPr>
        <w:t xml:space="preserve"> other than liquid or gas, consisting of a combination of </w:t>
      </w:r>
      <w:r w:rsidR="00A95C17">
        <w:rPr>
          <w:rFonts w:ascii="Bookman Old Style" w:hAnsi="Bookman Old Style"/>
        </w:rPr>
        <w:t>pa</w:t>
      </w:r>
      <w:r w:rsidR="002A7D53" w:rsidRPr="003C3292">
        <w:rPr>
          <w:rFonts w:ascii="Bookman Old Style" w:hAnsi="Bookman Old Style"/>
        </w:rPr>
        <w:t>rticles, granules o</w:t>
      </w:r>
      <w:r w:rsidR="007A231E" w:rsidRPr="003C3292">
        <w:rPr>
          <w:rFonts w:ascii="Bookman Old Style" w:hAnsi="Bookman Old Style"/>
        </w:rPr>
        <w:t>r any larger pieces of material</w:t>
      </w:r>
      <w:r w:rsidR="002A7D53" w:rsidRPr="003C3292">
        <w:rPr>
          <w:rFonts w:ascii="Bookman Old Style" w:hAnsi="Bookman Old Style"/>
        </w:rPr>
        <w:t xml:space="preserve"> generally uniform in composition, which is loaded directly into the cargo spaces of a ship without any intermediate form of containment.</w:t>
      </w:r>
    </w:p>
    <w:p w14:paraId="346DC931" w14:textId="7C7A26EE" w:rsidR="00CE1673" w:rsidRDefault="00CE1673" w:rsidP="007D6E38">
      <w:pPr>
        <w:snapToGrid w:val="0"/>
        <w:spacing w:before="120" w:after="120"/>
        <w:jc w:val="both"/>
        <w:rPr>
          <w:rFonts w:ascii="Bookman Old Style" w:hAnsi="Bookman Old Style"/>
        </w:rPr>
      </w:pPr>
      <w:r>
        <w:rPr>
          <w:rFonts w:ascii="Bookman Old Style" w:hAnsi="Bookman Old Style"/>
        </w:rPr>
        <w:t>(</w:t>
      </w:r>
      <w:r w:rsidR="00E9469C">
        <w:rPr>
          <w:rFonts w:ascii="Bookman Old Style" w:hAnsi="Bookman Old Style"/>
        </w:rPr>
        <w:t>23</w:t>
      </w:r>
      <w:r>
        <w:rPr>
          <w:rFonts w:ascii="Bookman Old Style" w:hAnsi="Bookman Old Style"/>
        </w:rPr>
        <w:t xml:space="preserve">) </w:t>
      </w:r>
      <w:r w:rsidRPr="003C3292">
        <w:rPr>
          <w:rFonts w:ascii="Bookman Old Style" w:hAnsi="Bookman Old Style"/>
        </w:rPr>
        <w:t xml:space="preserve">“Terminal Representative” means a person appointed by the terminal or other facility where the ship is loading or unloading, who has responsibility for operations conducted by that terminal or facility </w:t>
      </w:r>
      <w:proofErr w:type="gramStart"/>
      <w:r w:rsidRPr="003C3292">
        <w:rPr>
          <w:rFonts w:ascii="Bookman Old Style" w:hAnsi="Bookman Old Style"/>
        </w:rPr>
        <w:t>with regard to</w:t>
      </w:r>
      <w:proofErr w:type="gramEnd"/>
      <w:r w:rsidRPr="003C3292">
        <w:rPr>
          <w:rFonts w:ascii="Bookman Old Style" w:hAnsi="Bookman Old Style"/>
        </w:rPr>
        <w:t xml:space="preserve"> the </w:t>
      </w:r>
      <w:proofErr w:type="gramStart"/>
      <w:r w:rsidRPr="003C3292">
        <w:rPr>
          <w:rFonts w:ascii="Bookman Old Style" w:hAnsi="Bookman Old Style"/>
        </w:rPr>
        <w:t>particular ship</w:t>
      </w:r>
      <w:proofErr w:type="gramEnd"/>
      <w:r w:rsidRPr="003C3292">
        <w:rPr>
          <w:rFonts w:ascii="Bookman Old Style" w:hAnsi="Bookman Old Style"/>
        </w:rPr>
        <w:t>.</w:t>
      </w:r>
    </w:p>
    <w:p w14:paraId="7ECF5F57" w14:textId="56989E44" w:rsidR="00AA3B11" w:rsidRPr="003C3292" w:rsidRDefault="003F55C9"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24</w:t>
      </w:r>
      <w:r w:rsidR="00AA3B11" w:rsidRPr="003C3292">
        <w:rPr>
          <w:rFonts w:ascii="Bookman Old Style" w:hAnsi="Bookman Old Style"/>
        </w:rPr>
        <w:t>)</w:t>
      </w:r>
      <w:r w:rsidR="00DD17E1" w:rsidRPr="003C3292">
        <w:rPr>
          <w:rFonts w:ascii="Bookman Old Style" w:hAnsi="Bookman Old Style"/>
        </w:rPr>
        <w:t xml:space="preserve"> </w:t>
      </w:r>
      <w:r w:rsidR="00AA3B11" w:rsidRPr="003C3292">
        <w:rPr>
          <w:rFonts w:ascii="Bookman Old Style" w:hAnsi="Bookman Old Style"/>
        </w:rPr>
        <w:t>"</w:t>
      </w:r>
      <w:r w:rsidR="005830B0" w:rsidRPr="003C3292">
        <w:rPr>
          <w:rFonts w:ascii="Bookman Old Style" w:hAnsi="Bookman Old Style"/>
        </w:rPr>
        <w:t>Timber</w:t>
      </w:r>
      <w:r w:rsidR="00AA3B11" w:rsidRPr="003C3292">
        <w:rPr>
          <w:rFonts w:ascii="Bookman Old Style" w:hAnsi="Bookman Old Style"/>
        </w:rPr>
        <w:t xml:space="preserve"> </w:t>
      </w:r>
      <w:r w:rsidR="00C30751" w:rsidRPr="003C3292">
        <w:rPr>
          <w:rFonts w:ascii="Bookman Old Style" w:hAnsi="Bookman Old Style"/>
        </w:rPr>
        <w:t>C</w:t>
      </w:r>
      <w:r w:rsidR="00AA3B11" w:rsidRPr="003C3292">
        <w:rPr>
          <w:rFonts w:ascii="Bookman Old Style" w:hAnsi="Bookman Old Style"/>
        </w:rPr>
        <w:t xml:space="preserve">ode" means the </w:t>
      </w:r>
      <w:r w:rsidR="00A95C17">
        <w:rPr>
          <w:rFonts w:ascii="Bookman Old Style" w:hAnsi="Bookman Old Style"/>
        </w:rPr>
        <w:t>C</w:t>
      </w:r>
      <w:r w:rsidR="00AA3B11" w:rsidRPr="003C3292">
        <w:rPr>
          <w:rFonts w:ascii="Bookman Old Style" w:hAnsi="Bookman Old Style"/>
        </w:rPr>
        <w:t xml:space="preserve">ode </w:t>
      </w:r>
      <w:r w:rsidR="00A95C17">
        <w:rPr>
          <w:rFonts w:ascii="Bookman Old Style" w:hAnsi="Bookman Old Style"/>
        </w:rPr>
        <w:t>of</w:t>
      </w:r>
      <w:r w:rsidR="00AA3B11" w:rsidRPr="003C3292">
        <w:rPr>
          <w:rFonts w:ascii="Bookman Old Style" w:hAnsi="Bookman Old Style"/>
        </w:rPr>
        <w:t xml:space="preserve"> </w:t>
      </w:r>
      <w:r w:rsidR="00A95C17">
        <w:rPr>
          <w:rFonts w:ascii="Bookman Old Style" w:hAnsi="Bookman Old Style"/>
        </w:rPr>
        <w:t>S</w:t>
      </w:r>
      <w:r w:rsidR="00AA3B11" w:rsidRPr="003C3292">
        <w:rPr>
          <w:rFonts w:ascii="Bookman Old Style" w:hAnsi="Bookman Old Style"/>
        </w:rPr>
        <w:t xml:space="preserve">afe </w:t>
      </w:r>
      <w:r w:rsidR="00A95C17">
        <w:rPr>
          <w:rFonts w:ascii="Bookman Old Style" w:hAnsi="Bookman Old Style"/>
        </w:rPr>
        <w:t>P</w:t>
      </w:r>
      <w:r w:rsidR="00AA3B11" w:rsidRPr="003C3292">
        <w:rPr>
          <w:rFonts w:ascii="Bookman Old Style" w:hAnsi="Bookman Old Style"/>
        </w:rPr>
        <w:t xml:space="preserve">ractice for </w:t>
      </w:r>
      <w:r w:rsidR="000830A1">
        <w:rPr>
          <w:rFonts w:ascii="Bookman Old Style" w:hAnsi="Bookman Old Style"/>
        </w:rPr>
        <w:t>S</w:t>
      </w:r>
      <w:r w:rsidR="00AA3B11" w:rsidRPr="003C3292">
        <w:rPr>
          <w:rFonts w:ascii="Bookman Old Style" w:hAnsi="Bookman Old Style"/>
        </w:rPr>
        <w:t xml:space="preserve">hips </w:t>
      </w:r>
      <w:r w:rsidR="000830A1">
        <w:rPr>
          <w:rFonts w:ascii="Bookman Old Style" w:hAnsi="Bookman Old Style"/>
        </w:rPr>
        <w:t>C</w:t>
      </w:r>
      <w:r w:rsidR="00AA3B11" w:rsidRPr="003C3292">
        <w:rPr>
          <w:rFonts w:ascii="Bookman Old Style" w:hAnsi="Bookman Old Style"/>
        </w:rPr>
        <w:t xml:space="preserve">arrying </w:t>
      </w:r>
      <w:r w:rsidR="000830A1">
        <w:rPr>
          <w:rFonts w:ascii="Bookman Old Style" w:hAnsi="Bookman Old Style"/>
        </w:rPr>
        <w:t>T</w:t>
      </w:r>
      <w:r w:rsidR="00AA3B11" w:rsidRPr="003C3292">
        <w:rPr>
          <w:rFonts w:ascii="Bookman Old Style" w:hAnsi="Bookman Old Style"/>
        </w:rPr>
        <w:t xml:space="preserve">imber </w:t>
      </w:r>
      <w:r w:rsidR="000830A1">
        <w:rPr>
          <w:rFonts w:ascii="Bookman Old Style" w:hAnsi="Bookman Old Style"/>
        </w:rPr>
        <w:t>D</w:t>
      </w:r>
      <w:r w:rsidR="00AA3B11" w:rsidRPr="003C3292">
        <w:rPr>
          <w:rFonts w:ascii="Bookman Old Style" w:hAnsi="Bookman Old Style"/>
        </w:rPr>
        <w:t xml:space="preserve">eck </w:t>
      </w:r>
      <w:r w:rsidR="000830A1">
        <w:rPr>
          <w:rFonts w:ascii="Bookman Old Style" w:hAnsi="Bookman Old Style"/>
        </w:rPr>
        <w:t>C</w:t>
      </w:r>
      <w:r w:rsidR="00AA3B11" w:rsidRPr="003C3292">
        <w:rPr>
          <w:rFonts w:ascii="Bookman Old Style" w:hAnsi="Bookman Old Style"/>
        </w:rPr>
        <w:t>argo</w:t>
      </w:r>
      <w:r w:rsidR="000830A1">
        <w:rPr>
          <w:rFonts w:ascii="Bookman Old Style" w:hAnsi="Bookman Old Style"/>
        </w:rPr>
        <w:t>es</w:t>
      </w:r>
      <w:r w:rsidR="00AA3B11" w:rsidRPr="003C3292">
        <w:rPr>
          <w:rFonts w:ascii="Bookman Old Style" w:hAnsi="Bookman Old Style"/>
        </w:rPr>
        <w:t xml:space="preserve"> adopted by the International Maritime </w:t>
      </w:r>
      <w:r w:rsidR="00F12EBE" w:rsidRPr="003C3292">
        <w:rPr>
          <w:rFonts w:ascii="Bookman Old Style" w:hAnsi="Bookman Old Style"/>
        </w:rPr>
        <w:t>Organization</w:t>
      </w:r>
      <w:r w:rsidR="00C5343F">
        <w:rPr>
          <w:rFonts w:ascii="Bookman Old Style" w:hAnsi="Bookman Old Style"/>
        </w:rPr>
        <w:t xml:space="preserve"> by Resolution A.1048(27),</w:t>
      </w:r>
      <w:r w:rsidR="00AA3B11" w:rsidRPr="003C3292">
        <w:rPr>
          <w:rFonts w:ascii="Bookman Old Style" w:hAnsi="Bookman Old Style"/>
        </w:rPr>
        <w:t xml:space="preserve"> as amended from time to time</w:t>
      </w:r>
    </w:p>
    <w:p w14:paraId="2C04A4F7" w14:textId="290469F1" w:rsidR="00A95C17" w:rsidRPr="003C3292" w:rsidRDefault="003F55C9" w:rsidP="007D6E38">
      <w:pPr>
        <w:snapToGrid w:val="0"/>
        <w:spacing w:before="120" w:after="120"/>
        <w:jc w:val="both"/>
        <w:rPr>
          <w:rFonts w:ascii="Bookman Old Style" w:hAnsi="Bookman Old Style"/>
        </w:rPr>
      </w:pPr>
      <w:r w:rsidRPr="003C3292">
        <w:rPr>
          <w:rFonts w:ascii="Bookman Old Style" w:hAnsi="Bookman Old Style"/>
        </w:rPr>
        <w:t>(</w:t>
      </w:r>
      <w:r w:rsidR="00E9469C">
        <w:rPr>
          <w:rFonts w:ascii="Bookman Old Style" w:hAnsi="Bookman Old Style"/>
        </w:rPr>
        <w:t>25</w:t>
      </w:r>
      <w:r w:rsidR="00AA3B11" w:rsidRPr="003C3292">
        <w:rPr>
          <w:rFonts w:ascii="Bookman Old Style" w:hAnsi="Bookman Old Style"/>
        </w:rPr>
        <w:t>)</w:t>
      </w:r>
      <w:r w:rsidR="00DD17E1" w:rsidRPr="003C3292">
        <w:rPr>
          <w:rFonts w:ascii="Bookman Old Style" w:hAnsi="Bookman Old Style"/>
        </w:rPr>
        <w:t xml:space="preserve"> </w:t>
      </w:r>
      <w:r w:rsidR="00AA3B11" w:rsidRPr="003C3292">
        <w:rPr>
          <w:rFonts w:ascii="Bookman Old Style" w:hAnsi="Bookman Old Style"/>
        </w:rPr>
        <w:t>"</w:t>
      </w:r>
      <w:r w:rsidR="005830B0" w:rsidRPr="003C3292">
        <w:rPr>
          <w:rFonts w:ascii="Bookman Old Style" w:hAnsi="Bookman Old Style"/>
        </w:rPr>
        <w:t>Timber</w:t>
      </w:r>
      <w:r w:rsidR="00AA3B11" w:rsidRPr="003C3292">
        <w:rPr>
          <w:rFonts w:ascii="Bookman Old Style" w:hAnsi="Bookman Old Style"/>
        </w:rPr>
        <w:t xml:space="preserve"> deck cargo" means </w:t>
      </w:r>
      <w:r w:rsidR="00A95C17" w:rsidRPr="00A95C17">
        <w:rPr>
          <w:rFonts w:ascii="Bookman Old Style" w:hAnsi="Bookman Old Style"/>
        </w:rPr>
        <w:t>a cargo of timber carried on an uncovered part of a freeboard or superstructure deck</w:t>
      </w:r>
    </w:p>
    <w:p w14:paraId="04868D77" w14:textId="7063B80F" w:rsidR="000B16F7" w:rsidRPr="003C3292" w:rsidRDefault="00A06E8D" w:rsidP="007D6E38">
      <w:pPr>
        <w:pStyle w:val="BodyText"/>
        <w:snapToGrid w:val="0"/>
        <w:spacing w:before="120" w:after="120"/>
        <w:rPr>
          <w:szCs w:val="24"/>
        </w:rPr>
      </w:pPr>
      <w:r w:rsidRPr="003C3292">
        <w:rPr>
          <w:szCs w:val="24"/>
        </w:rPr>
        <w:t>(</w:t>
      </w:r>
      <w:r w:rsidR="00E9469C">
        <w:rPr>
          <w:szCs w:val="24"/>
        </w:rPr>
        <w:t>26</w:t>
      </w:r>
      <w:r w:rsidRPr="003C3292">
        <w:rPr>
          <w:szCs w:val="24"/>
        </w:rPr>
        <w:t xml:space="preserve">) </w:t>
      </w:r>
      <w:r w:rsidR="000B16F7" w:rsidRPr="003C3292">
        <w:rPr>
          <w:szCs w:val="24"/>
        </w:rPr>
        <w:t>Meaning of other terms and abbreviations:</w:t>
      </w:r>
      <w:r w:rsidR="00EB60F8">
        <w:rPr>
          <w:szCs w:val="24"/>
        </w:rPr>
        <w:t xml:space="preserve"> </w:t>
      </w:r>
      <w:r w:rsidR="000B16F7" w:rsidRPr="003C3292">
        <w:rPr>
          <w:szCs w:val="24"/>
        </w:rPr>
        <w:t xml:space="preserve">All other terms and abbreviations which are used in these rules and defined in the </w:t>
      </w:r>
      <w:r w:rsidR="004F7A9A" w:rsidRPr="003C3292">
        <w:rPr>
          <w:szCs w:val="24"/>
        </w:rPr>
        <w:t xml:space="preserve">Act, </w:t>
      </w:r>
      <w:r w:rsidR="006C5214" w:rsidRPr="003C3292">
        <w:rPr>
          <w:szCs w:val="24"/>
        </w:rPr>
        <w:t xml:space="preserve">SOLAS 1974, MARPOL 73/78, CSC 1972 and applicable </w:t>
      </w:r>
      <w:r w:rsidRPr="003C3292">
        <w:rPr>
          <w:szCs w:val="24"/>
        </w:rPr>
        <w:t>C</w:t>
      </w:r>
      <w:r w:rsidR="00E846A1" w:rsidRPr="003C3292">
        <w:rPr>
          <w:szCs w:val="24"/>
        </w:rPr>
        <w:t xml:space="preserve">odes for the purpose of safe carriage of cargoes, cargo units and cargo transport units </w:t>
      </w:r>
      <w:r w:rsidR="000B16F7" w:rsidRPr="003C3292">
        <w:rPr>
          <w:szCs w:val="24"/>
        </w:rPr>
        <w:t xml:space="preserve">shall have the meanings as defined in </w:t>
      </w:r>
      <w:r w:rsidR="004F7A9A" w:rsidRPr="003C3292">
        <w:rPr>
          <w:szCs w:val="24"/>
        </w:rPr>
        <w:t xml:space="preserve">the Act and </w:t>
      </w:r>
      <w:r w:rsidR="000B16F7" w:rsidRPr="003C3292">
        <w:rPr>
          <w:szCs w:val="24"/>
        </w:rPr>
        <w:t>those</w:t>
      </w:r>
      <w:r w:rsidR="00FF660B" w:rsidRPr="003C3292">
        <w:rPr>
          <w:szCs w:val="24"/>
        </w:rPr>
        <w:t xml:space="preserve"> applicable</w:t>
      </w:r>
      <w:r w:rsidR="000B16F7" w:rsidRPr="003C3292">
        <w:rPr>
          <w:szCs w:val="24"/>
        </w:rPr>
        <w:t xml:space="preserve"> Regulations</w:t>
      </w:r>
      <w:r w:rsidRPr="003C3292">
        <w:rPr>
          <w:szCs w:val="24"/>
        </w:rPr>
        <w:t>, Codes</w:t>
      </w:r>
      <w:r w:rsidR="000B16F7" w:rsidRPr="003C3292">
        <w:rPr>
          <w:szCs w:val="24"/>
        </w:rPr>
        <w:t xml:space="preserve"> and Convention</w:t>
      </w:r>
      <w:r w:rsidR="006C5214" w:rsidRPr="003C3292">
        <w:rPr>
          <w:szCs w:val="24"/>
        </w:rPr>
        <w:t>s</w:t>
      </w:r>
      <w:r w:rsidR="00FF660B" w:rsidRPr="003C3292">
        <w:rPr>
          <w:szCs w:val="24"/>
        </w:rPr>
        <w:t xml:space="preserve">. </w:t>
      </w:r>
    </w:p>
    <w:p w14:paraId="29C4BD34" w14:textId="77777777" w:rsidR="00F82539" w:rsidRPr="003C3292" w:rsidRDefault="00F82539" w:rsidP="007D6E38">
      <w:pPr>
        <w:snapToGrid w:val="0"/>
        <w:spacing w:before="120" w:after="120"/>
        <w:jc w:val="both"/>
        <w:rPr>
          <w:rFonts w:ascii="Bookman Old Style" w:hAnsi="Bookman Old Style"/>
        </w:rPr>
      </w:pPr>
    </w:p>
    <w:p w14:paraId="7388D9B0" w14:textId="20D35E3F" w:rsidR="007D6E38" w:rsidRDefault="007D6E38" w:rsidP="007D6E38">
      <w:pPr>
        <w:pStyle w:val="ListParagraph"/>
        <w:numPr>
          <w:ilvl w:val="0"/>
          <w:numId w:val="51"/>
        </w:numPr>
        <w:snapToGrid w:val="0"/>
        <w:spacing w:before="120" w:after="120"/>
        <w:ind w:left="0" w:firstLine="0"/>
        <w:contextualSpacing w:val="0"/>
        <w:jc w:val="both"/>
        <w:rPr>
          <w:rFonts w:ascii="Bookman Old Style" w:hAnsi="Bookman Old Style"/>
          <w:b/>
        </w:rPr>
      </w:pPr>
      <w:r w:rsidRPr="007D6E38">
        <w:rPr>
          <w:rFonts w:ascii="Bookman Old Style" w:hAnsi="Bookman Old Style"/>
          <w:b/>
        </w:rPr>
        <w:t>Requirements for the carriage of solid bulk cargoes other than grain</w:t>
      </w:r>
      <w:r w:rsidR="00B5596B">
        <w:rPr>
          <w:rFonts w:ascii="Bookman Old Style" w:hAnsi="Bookman Old Style"/>
          <w:b/>
        </w:rPr>
        <w:t>:</w:t>
      </w:r>
      <w:r w:rsidR="007D4CF0">
        <w:rPr>
          <w:rFonts w:ascii="Bookman Old Style" w:hAnsi="Bookman Old Style"/>
          <w:b/>
        </w:rPr>
        <w:t xml:space="preserve"> </w:t>
      </w:r>
      <w:r w:rsidR="007D4CF0" w:rsidRPr="003C3292">
        <w:rPr>
          <w:rFonts w:ascii="Bookman Old Style" w:hAnsi="Bookman Old Style"/>
        </w:rPr>
        <w:t xml:space="preserve">The carriage of solid bulk cargoes other than grain shall </w:t>
      </w:r>
      <w:proofErr w:type="gramStart"/>
      <w:r w:rsidR="007D4CF0" w:rsidRPr="003C3292">
        <w:rPr>
          <w:rFonts w:ascii="Bookman Old Style" w:hAnsi="Bookman Old Style"/>
        </w:rPr>
        <w:t>be in compliance with</w:t>
      </w:r>
      <w:proofErr w:type="gramEnd"/>
      <w:r w:rsidR="007D4CF0" w:rsidRPr="003C3292">
        <w:rPr>
          <w:rFonts w:ascii="Bookman Old Style" w:hAnsi="Bookman Old Style"/>
        </w:rPr>
        <w:t xml:space="preserve"> the relevant provisions of the IMSB</w:t>
      </w:r>
      <w:r w:rsidR="007D4CF0">
        <w:rPr>
          <w:rFonts w:ascii="Bookman Old Style" w:hAnsi="Bookman Old Style"/>
        </w:rPr>
        <w:t>C</w:t>
      </w:r>
      <w:r w:rsidR="007D4CF0" w:rsidRPr="003C3292">
        <w:rPr>
          <w:rFonts w:ascii="Bookman Old Style" w:hAnsi="Bookman Old Style"/>
        </w:rPr>
        <w:t xml:space="preserve"> Code.</w:t>
      </w:r>
    </w:p>
    <w:p w14:paraId="1E8E4FD3" w14:textId="77777777" w:rsidR="007D4CF0" w:rsidRPr="007D6E38" w:rsidRDefault="007D4CF0" w:rsidP="007D4CF0">
      <w:pPr>
        <w:pStyle w:val="ListParagraph"/>
        <w:snapToGrid w:val="0"/>
        <w:spacing w:before="120" w:after="120"/>
        <w:ind w:left="0"/>
        <w:contextualSpacing w:val="0"/>
        <w:jc w:val="both"/>
        <w:rPr>
          <w:rFonts w:ascii="Bookman Old Style" w:hAnsi="Bookman Old Style"/>
          <w:b/>
        </w:rPr>
      </w:pPr>
    </w:p>
    <w:p w14:paraId="0C090C60" w14:textId="4C9A50DF" w:rsidR="004F7A9A" w:rsidRPr="00A65B53" w:rsidRDefault="00B31AFB" w:rsidP="007D6E38">
      <w:pPr>
        <w:pStyle w:val="ListParagraph"/>
        <w:numPr>
          <w:ilvl w:val="0"/>
          <w:numId w:val="51"/>
        </w:numPr>
        <w:snapToGrid w:val="0"/>
        <w:spacing w:before="120" w:after="120"/>
        <w:ind w:left="0" w:firstLine="0"/>
        <w:contextualSpacing w:val="0"/>
        <w:jc w:val="both"/>
        <w:rPr>
          <w:rFonts w:ascii="Bookman Old Style" w:hAnsi="Bookman Old Style"/>
          <w:b/>
        </w:rPr>
      </w:pPr>
      <w:r w:rsidRPr="00BE7F43">
        <w:rPr>
          <w:rFonts w:ascii="Bookman Old Style" w:hAnsi="Bookman Old Style"/>
          <w:b/>
        </w:rPr>
        <w:t>Cargo Information:</w:t>
      </w:r>
    </w:p>
    <w:p w14:paraId="522C829C" w14:textId="1204A1E6" w:rsidR="00740E3F" w:rsidRPr="003C3292" w:rsidRDefault="00B31AFB" w:rsidP="007D6E38">
      <w:pPr>
        <w:snapToGrid w:val="0"/>
        <w:spacing w:before="120" w:after="120"/>
        <w:jc w:val="both"/>
        <w:rPr>
          <w:rFonts w:ascii="Bookman Old Style" w:hAnsi="Bookman Old Style"/>
          <w:bCs/>
        </w:rPr>
      </w:pPr>
      <w:r w:rsidRPr="003C3292">
        <w:rPr>
          <w:rFonts w:ascii="Bookman Old Style" w:hAnsi="Bookman Old Style"/>
          <w:bCs/>
        </w:rPr>
        <w:t>(</w:t>
      </w:r>
      <w:r w:rsidR="00D54B5F">
        <w:rPr>
          <w:rFonts w:ascii="Bookman Old Style" w:hAnsi="Bookman Old Style"/>
          <w:bCs/>
        </w:rPr>
        <w:t>1</w:t>
      </w:r>
      <w:r w:rsidRPr="003C3292">
        <w:rPr>
          <w:rFonts w:ascii="Bookman Old Style" w:hAnsi="Bookman Old Style"/>
          <w:bCs/>
        </w:rPr>
        <w:t>)</w:t>
      </w:r>
      <w:r w:rsidR="0023092E" w:rsidRPr="003C3292">
        <w:rPr>
          <w:rFonts w:ascii="Bookman Old Style" w:hAnsi="Bookman Old Style"/>
          <w:bCs/>
        </w:rPr>
        <w:t xml:space="preserve"> </w:t>
      </w:r>
      <w:r w:rsidR="00AC2B54">
        <w:rPr>
          <w:rFonts w:ascii="Bookman Old Style" w:hAnsi="Bookman Old Style"/>
          <w:bCs/>
        </w:rPr>
        <w:t>T</w:t>
      </w:r>
      <w:r w:rsidR="00C72A54" w:rsidRPr="003C3292">
        <w:rPr>
          <w:rFonts w:ascii="Bookman Old Style" w:hAnsi="Bookman Old Style"/>
          <w:bCs/>
        </w:rPr>
        <w:t>he ship owner</w:t>
      </w:r>
      <w:r w:rsidRPr="003C3292">
        <w:rPr>
          <w:rFonts w:ascii="Bookman Old Style" w:hAnsi="Bookman Old Style"/>
          <w:bCs/>
        </w:rPr>
        <w:t>, ship master of all ships loading any cargo, shall ensure that cargo information is</w:t>
      </w:r>
      <w:r w:rsidR="00CE4D20" w:rsidRPr="003C3292">
        <w:rPr>
          <w:rFonts w:ascii="Bookman Old Style" w:hAnsi="Bookman Old Style"/>
          <w:bCs/>
        </w:rPr>
        <w:t xml:space="preserve"> made available to the ship </w:t>
      </w:r>
      <w:r w:rsidRPr="003C3292">
        <w:rPr>
          <w:rFonts w:ascii="Bookman Old Style" w:hAnsi="Bookman Old Style"/>
          <w:bCs/>
        </w:rPr>
        <w:t xml:space="preserve">by the shipper before the commencement of cargo </w:t>
      </w:r>
      <w:proofErr w:type="gramStart"/>
      <w:r w:rsidRPr="003C3292">
        <w:rPr>
          <w:rFonts w:ascii="Bookman Old Style" w:hAnsi="Bookman Old Style"/>
          <w:bCs/>
        </w:rPr>
        <w:t>operations</w:t>
      </w:r>
      <w:r w:rsidR="00EA4038" w:rsidRPr="003C3292">
        <w:rPr>
          <w:rFonts w:ascii="Bookman Old Style" w:hAnsi="Bookman Old Style"/>
          <w:bCs/>
        </w:rPr>
        <w:t>;</w:t>
      </w:r>
      <w:proofErr w:type="gramEnd"/>
    </w:p>
    <w:p w14:paraId="109B7C4F" w14:textId="086111CF" w:rsidR="0082574E" w:rsidRDefault="00C3322C" w:rsidP="007D6E38">
      <w:pPr>
        <w:snapToGrid w:val="0"/>
        <w:spacing w:before="120" w:after="120"/>
        <w:jc w:val="both"/>
        <w:rPr>
          <w:rFonts w:ascii="Bookman Old Style" w:hAnsi="Bookman Old Style"/>
        </w:rPr>
      </w:pPr>
      <w:r w:rsidRPr="003C3292">
        <w:rPr>
          <w:rFonts w:ascii="Bookman Old Style" w:hAnsi="Bookman Old Style"/>
        </w:rPr>
        <w:lastRenderedPageBreak/>
        <w:t>(</w:t>
      </w:r>
      <w:r w:rsidR="00D54B5F">
        <w:rPr>
          <w:rFonts w:ascii="Bookman Old Style" w:hAnsi="Bookman Old Style"/>
        </w:rPr>
        <w:t>2</w:t>
      </w:r>
      <w:r w:rsidR="00EA4038" w:rsidRPr="003C3292">
        <w:rPr>
          <w:rFonts w:ascii="Bookman Old Style" w:hAnsi="Bookman Old Style"/>
        </w:rPr>
        <w:t xml:space="preserve">) </w:t>
      </w:r>
      <w:r w:rsidR="00AC2B54">
        <w:rPr>
          <w:rFonts w:ascii="Bookman Old Style" w:hAnsi="Bookman Old Style"/>
        </w:rPr>
        <w:t>T</w:t>
      </w:r>
      <w:r w:rsidR="00B325A6" w:rsidRPr="003C3292">
        <w:rPr>
          <w:rFonts w:ascii="Bookman Old Style" w:hAnsi="Bookman Old Style"/>
        </w:rPr>
        <w:t>he shipper shall provide</w:t>
      </w:r>
      <w:r w:rsidRPr="003C3292">
        <w:rPr>
          <w:rFonts w:ascii="Bookman Old Style" w:hAnsi="Bookman Old Style"/>
        </w:rPr>
        <w:t xml:space="preserve"> the master or his representative with appropriate information on the cargo sufficiently in advance of loading to enable the precautions which may be necessary for proper stowage and safe carriage of the cargo to be put into effect. Such information</w:t>
      </w:r>
      <w:r w:rsidR="0082574E" w:rsidRPr="003C3292">
        <w:rPr>
          <w:rFonts w:ascii="Bookman Old Style" w:hAnsi="Bookman Old Style"/>
        </w:rPr>
        <w:t>, in a format,</w:t>
      </w:r>
      <w:r w:rsidR="00FE20FF" w:rsidRPr="003C3292">
        <w:rPr>
          <w:rFonts w:ascii="Bookman Old Style" w:hAnsi="Bookman Old Style"/>
        </w:rPr>
        <w:t xml:space="preserve"> prescribed</w:t>
      </w:r>
      <w:r w:rsidR="0082574E" w:rsidRPr="003C3292">
        <w:rPr>
          <w:rFonts w:ascii="Bookman Old Style" w:hAnsi="Bookman Old Style"/>
        </w:rPr>
        <w:t xml:space="preserve"> by applicable recommendation of the Organization,</w:t>
      </w:r>
      <w:r w:rsidR="00BD63CF">
        <w:rPr>
          <w:rFonts w:ascii="Bookman Old Style" w:hAnsi="Bookman Old Style"/>
        </w:rPr>
        <w:t xml:space="preserve"> such information</w:t>
      </w:r>
      <w:r w:rsidR="00BD63CF">
        <w:rPr>
          <w:rStyle w:val="FootnoteReference"/>
          <w:rFonts w:ascii="Bookman Old Style" w:hAnsi="Bookman Old Style"/>
        </w:rPr>
        <w:footnoteReference w:id="2"/>
      </w:r>
      <w:r w:rsidR="0082574E" w:rsidRPr="003C3292">
        <w:rPr>
          <w:rFonts w:ascii="Bookman Old Style" w:hAnsi="Bookman Old Style"/>
        </w:rPr>
        <w:t xml:space="preserve"> s</w:t>
      </w:r>
      <w:r w:rsidRPr="003C3292">
        <w:rPr>
          <w:rFonts w:ascii="Bookman Old Style" w:hAnsi="Bookman Old Style"/>
        </w:rPr>
        <w:t>hall be confirmed in writing</w:t>
      </w:r>
      <w:r w:rsidR="00BD63CF">
        <w:rPr>
          <w:rStyle w:val="FootnoteReference"/>
          <w:rFonts w:ascii="Bookman Old Style" w:hAnsi="Bookman Old Style"/>
        </w:rPr>
        <w:footnoteReference w:id="3"/>
      </w:r>
      <w:r w:rsidR="00E74ACF" w:rsidRPr="003C3292">
        <w:rPr>
          <w:rFonts w:ascii="Bookman Old Style" w:hAnsi="Bookman Old Style"/>
        </w:rPr>
        <w:t xml:space="preserve"> </w:t>
      </w:r>
      <w:r w:rsidRPr="003C3292">
        <w:rPr>
          <w:rFonts w:ascii="Bookman Old Style" w:hAnsi="Bookman Old Style"/>
        </w:rPr>
        <w:t>and by appropriate shipping documents prior t</w:t>
      </w:r>
      <w:r w:rsidR="00FE20FF" w:rsidRPr="003C3292">
        <w:rPr>
          <w:rFonts w:ascii="Bookman Old Style" w:hAnsi="Bookman Old Style"/>
        </w:rPr>
        <w:t xml:space="preserve">o loading the cargo on the </w:t>
      </w:r>
      <w:proofErr w:type="gramStart"/>
      <w:r w:rsidR="00FE20FF" w:rsidRPr="003C3292">
        <w:rPr>
          <w:rFonts w:ascii="Bookman Old Style" w:hAnsi="Bookman Old Style"/>
        </w:rPr>
        <w:t>ship;</w:t>
      </w:r>
      <w:proofErr w:type="gramEnd"/>
    </w:p>
    <w:p w14:paraId="37FC89D0" w14:textId="3C85932B" w:rsidR="00C3322C" w:rsidRPr="003C3292" w:rsidRDefault="00C15E44" w:rsidP="007D6E38">
      <w:pPr>
        <w:snapToGrid w:val="0"/>
        <w:spacing w:before="120" w:after="120"/>
        <w:jc w:val="both"/>
        <w:rPr>
          <w:rFonts w:ascii="Bookman Old Style" w:hAnsi="Bookman Old Style"/>
        </w:rPr>
      </w:pPr>
      <w:r w:rsidRPr="003C3292">
        <w:rPr>
          <w:rFonts w:ascii="Bookman Old Style" w:hAnsi="Bookman Old Style"/>
        </w:rPr>
        <w:t>(</w:t>
      </w:r>
      <w:r w:rsidR="00D54B5F">
        <w:rPr>
          <w:rFonts w:ascii="Bookman Old Style" w:hAnsi="Bookman Old Style"/>
        </w:rPr>
        <w:t>3</w:t>
      </w:r>
      <w:r w:rsidR="00EA4038" w:rsidRPr="003C3292">
        <w:rPr>
          <w:rFonts w:ascii="Bookman Old Style" w:hAnsi="Bookman Old Style"/>
        </w:rPr>
        <w:t xml:space="preserve">) </w:t>
      </w:r>
      <w:r w:rsidR="00AC2B54">
        <w:rPr>
          <w:rFonts w:ascii="Bookman Old Style" w:hAnsi="Bookman Old Style"/>
        </w:rPr>
        <w:t>T</w:t>
      </w:r>
      <w:r w:rsidR="00C3322C" w:rsidRPr="003C3292">
        <w:rPr>
          <w:rFonts w:ascii="Bookman Old Style" w:hAnsi="Bookman Old Style"/>
        </w:rPr>
        <w:t xml:space="preserve">he cargo information shall </w:t>
      </w:r>
      <w:r w:rsidR="005830B0" w:rsidRPr="003C3292">
        <w:rPr>
          <w:rFonts w:ascii="Bookman Old Style" w:hAnsi="Bookman Old Style"/>
        </w:rPr>
        <w:t>include:</w:t>
      </w:r>
      <w:r w:rsidR="00C3322C" w:rsidRPr="003C3292">
        <w:rPr>
          <w:rFonts w:ascii="Bookman Old Style" w:hAnsi="Bookman Old Style"/>
        </w:rPr>
        <w:t> </w:t>
      </w:r>
    </w:p>
    <w:p w14:paraId="093E1FAD" w14:textId="77122ECA" w:rsidR="00A65B53" w:rsidRDefault="00C3322C" w:rsidP="00D77F0E">
      <w:pPr>
        <w:snapToGrid w:val="0"/>
        <w:spacing w:before="120" w:after="120"/>
        <w:jc w:val="both"/>
        <w:rPr>
          <w:rFonts w:ascii="Bookman Old Style" w:hAnsi="Bookman Old Style"/>
        </w:rPr>
      </w:pPr>
      <w:r w:rsidRPr="003C3292">
        <w:rPr>
          <w:rFonts w:ascii="Bookman Old Style" w:hAnsi="Bookman Old Style"/>
        </w:rPr>
        <w:t>(</w:t>
      </w:r>
      <w:r w:rsidR="00D77F0E">
        <w:rPr>
          <w:rFonts w:ascii="Bookman Old Style" w:hAnsi="Bookman Old Style"/>
        </w:rPr>
        <w:t>a</w:t>
      </w:r>
      <w:r w:rsidRPr="003C3292">
        <w:rPr>
          <w:rFonts w:ascii="Bookman Old Style" w:hAnsi="Bookman Old Style"/>
        </w:rPr>
        <w:t>)</w:t>
      </w:r>
      <w:r w:rsidR="00EA4038" w:rsidRPr="003C3292">
        <w:rPr>
          <w:rFonts w:ascii="Bookman Old Style" w:hAnsi="Bookman Old Style"/>
        </w:rPr>
        <w:t xml:space="preserve"> </w:t>
      </w:r>
      <w:r w:rsidR="00A65B53">
        <w:rPr>
          <w:rFonts w:ascii="Bookman Old Style" w:hAnsi="Bookman Old Style"/>
        </w:rPr>
        <w:t>i</w:t>
      </w:r>
      <w:r w:rsidR="00A65B53" w:rsidRPr="00D54B5F">
        <w:rPr>
          <w:rFonts w:ascii="Bookman Old Style" w:hAnsi="Bookman Old Style"/>
        </w:rPr>
        <w:t>n the case of general cargo, and of cargo carried in cargo units, a general description of the cargo,</w:t>
      </w:r>
      <w:r w:rsidR="00A65B53">
        <w:rPr>
          <w:rFonts w:ascii="Bookman Old Style" w:hAnsi="Bookman Old Style"/>
        </w:rPr>
        <w:t xml:space="preserve"> </w:t>
      </w:r>
      <w:r w:rsidR="00A65B53" w:rsidRPr="00D54B5F">
        <w:rPr>
          <w:rFonts w:ascii="Bookman Old Style" w:hAnsi="Bookman Old Style"/>
        </w:rPr>
        <w:t>the gross mass of the cargo or of the cargo units, and any relevant special properties of the cargo.</w:t>
      </w:r>
      <w:r w:rsidR="00A65B53">
        <w:rPr>
          <w:rFonts w:ascii="Bookman Old Style" w:hAnsi="Bookman Old Style"/>
        </w:rPr>
        <w:t xml:space="preserve"> </w:t>
      </w:r>
      <w:proofErr w:type="gramStart"/>
      <w:r w:rsidR="00A65B53" w:rsidRPr="00D54B5F">
        <w:rPr>
          <w:rFonts w:ascii="Bookman Old Style" w:hAnsi="Bookman Old Style"/>
        </w:rPr>
        <w:t>For the purpose of</w:t>
      </w:r>
      <w:proofErr w:type="gramEnd"/>
      <w:r w:rsidR="00A65B53" w:rsidRPr="00D54B5F">
        <w:rPr>
          <w:rFonts w:ascii="Bookman Old Style" w:hAnsi="Bookman Old Style"/>
        </w:rPr>
        <w:t xml:space="preserve"> this </w:t>
      </w:r>
      <w:r w:rsidR="00AC2B54">
        <w:rPr>
          <w:rFonts w:ascii="Bookman Old Style" w:hAnsi="Bookman Old Style"/>
        </w:rPr>
        <w:t>Rule</w:t>
      </w:r>
      <w:r w:rsidR="00A65B53" w:rsidRPr="00D54B5F">
        <w:rPr>
          <w:rFonts w:ascii="Bookman Old Style" w:hAnsi="Bookman Old Style"/>
        </w:rPr>
        <w:t xml:space="preserve"> the cargo information required in sub-chapter 1.9 of the Code of</w:t>
      </w:r>
      <w:r w:rsidR="00A65B53">
        <w:rPr>
          <w:rFonts w:ascii="Bookman Old Style" w:hAnsi="Bookman Old Style"/>
        </w:rPr>
        <w:t xml:space="preserve"> </w:t>
      </w:r>
      <w:r w:rsidR="00A65B53" w:rsidRPr="00D54B5F">
        <w:rPr>
          <w:rFonts w:ascii="Bookman Old Style" w:hAnsi="Bookman Old Style"/>
        </w:rPr>
        <w:t>Safe Practice for Cargo Stowage and Securing, adopted by the Organization by resolution A.714(17),</w:t>
      </w:r>
      <w:r w:rsidR="00A65B53">
        <w:rPr>
          <w:rFonts w:ascii="Bookman Old Style" w:hAnsi="Bookman Old Style"/>
        </w:rPr>
        <w:t xml:space="preserve"> </w:t>
      </w:r>
      <w:r w:rsidR="00A65B53" w:rsidRPr="00D54B5F">
        <w:rPr>
          <w:rFonts w:ascii="Bookman Old Style" w:hAnsi="Bookman Old Style"/>
        </w:rPr>
        <w:t>as may be amended, shall be provided</w:t>
      </w:r>
      <w:r w:rsidR="00A65B53">
        <w:rPr>
          <w:rFonts w:ascii="Bookman Old Style" w:hAnsi="Bookman Old Style"/>
        </w:rPr>
        <w:t xml:space="preserve">. </w:t>
      </w:r>
    </w:p>
    <w:p w14:paraId="1F366F40" w14:textId="2CDCD4D3" w:rsidR="00B56650" w:rsidRPr="003C3292" w:rsidRDefault="00EA4038" w:rsidP="00D77F0E">
      <w:pPr>
        <w:snapToGrid w:val="0"/>
        <w:spacing w:before="120" w:after="120"/>
        <w:jc w:val="both"/>
        <w:rPr>
          <w:rFonts w:ascii="Bookman Old Style" w:hAnsi="Bookman Old Style"/>
        </w:rPr>
      </w:pPr>
      <w:r w:rsidRPr="003C3292">
        <w:rPr>
          <w:rFonts w:ascii="Bookman Old Style" w:hAnsi="Bookman Old Style"/>
        </w:rPr>
        <w:t>(</w:t>
      </w:r>
      <w:r w:rsidR="00D77F0E">
        <w:rPr>
          <w:rFonts w:ascii="Bookman Old Style" w:hAnsi="Bookman Old Style"/>
        </w:rPr>
        <w:t>b</w:t>
      </w:r>
      <w:r w:rsidRPr="003C3292">
        <w:rPr>
          <w:rFonts w:ascii="Bookman Old Style" w:hAnsi="Bookman Old Style"/>
        </w:rPr>
        <w:t xml:space="preserve">) </w:t>
      </w:r>
      <w:r w:rsidR="00C3322C" w:rsidRPr="003C3292">
        <w:rPr>
          <w:rFonts w:ascii="Bookman Old Style" w:hAnsi="Bookman Old Style"/>
        </w:rPr>
        <w:t>in the case of a bulk cargo, information</w:t>
      </w:r>
      <w:r w:rsidR="00B56650" w:rsidRPr="003C3292">
        <w:rPr>
          <w:rFonts w:ascii="Bookman Old Style" w:hAnsi="Bookman Old Style"/>
        </w:rPr>
        <w:t xml:space="preserve"> as required by Section 4 of the IMSBC Code</w:t>
      </w:r>
      <w:r w:rsidR="00AC2B54">
        <w:rPr>
          <w:rFonts w:ascii="Bookman Old Style" w:hAnsi="Bookman Old Style"/>
        </w:rPr>
        <w:t xml:space="preserve"> shall be provided.</w:t>
      </w:r>
    </w:p>
    <w:p w14:paraId="206AE0F0" w14:textId="079CF854" w:rsidR="00D54B5F" w:rsidRPr="003C3292" w:rsidRDefault="00EA4038" w:rsidP="00D77F0E">
      <w:pPr>
        <w:snapToGrid w:val="0"/>
        <w:spacing w:before="120" w:after="120"/>
        <w:jc w:val="both"/>
        <w:rPr>
          <w:rFonts w:ascii="Bookman Old Style" w:hAnsi="Bookman Old Style"/>
        </w:rPr>
      </w:pPr>
      <w:r w:rsidRPr="003C3292">
        <w:rPr>
          <w:rFonts w:ascii="Bookman Old Style" w:hAnsi="Bookman Old Style"/>
        </w:rPr>
        <w:t>(</w:t>
      </w:r>
      <w:r w:rsidR="00D77F0E">
        <w:rPr>
          <w:rFonts w:ascii="Bookman Old Style" w:hAnsi="Bookman Old Style"/>
        </w:rPr>
        <w:t>c</w:t>
      </w:r>
      <w:r w:rsidRPr="003C3292">
        <w:rPr>
          <w:rFonts w:ascii="Bookman Old Style" w:hAnsi="Bookman Old Style"/>
        </w:rPr>
        <w:t xml:space="preserve">) </w:t>
      </w:r>
      <w:r w:rsidR="00C3322C" w:rsidRPr="003C3292">
        <w:rPr>
          <w:rFonts w:ascii="Bookman Old Style" w:hAnsi="Bookman Old Style"/>
        </w:rPr>
        <w:t xml:space="preserve">in case of a bulk cargo not </w:t>
      </w:r>
      <w:r w:rsidR="00E86D98" w:rsidRPr="003C3292">
        <w:rPr>
          <w:rFonts w:ascii="Bookman Old Style" w:hAnsi="Bookman Old Style"/>
        </w:rPr>
        <w:t xml:space="preserve">listed in IMSBC Code, the provisions of </w:t>
      </w:r>
      <w:r w:rsidR="00AC2B54">
        <w:rPr>
          <w:rFonts w:ascii="Bookman Old Style" w:hAnsi="Bookman Old Style"/>
        </w:rPr>
        <w:t xml:space="preserve">Section 1.3 </w:t>
      </w:r>
      <w:r w:rsidR="00E86D98" w:rsidRPr="003C3292">
        <w:rPr>
          <w:rFonts w:ascii="Bookman Old Style" w:hAnsi="Bookman Old Style"/>
        </w:rPr>
        <w:t xml:space="preserve">of the IMSBC Code shall apply. </w:t>
      </w:r>
    </w:p>
    <w:p w14:paraId="446C348D" w14:textId="3C8930E2" w:rsidR="00C3322C" w:rsidRPr="00AD2139" w:rsidRDefault="00C3322C" w:rsidP="007D6E38">
      <w:pPr>
        <w:snapToGrid w:val="0"/>
        <w:spacing w:before="120" w:after="120"/>
        <w:jc w:val="both"/>
        <w:rPr>
          <w:rFonts w:ascii="Bookman Old Style" w:hAnsi="Bookman Old Style"/>
          <w:color w:val="215E99" w:themeColor="text2" w:themeTint="BF"/>
        </w:rPr>
      </w:pPr>
      <w:r w:rsidRPr="003C3292">
        <w:rPr>
          <w:rFonts w:ascii="Bookman Old Style" w:hAnsi="Bookman Old Style"/>
        </w:rPr>
        <w:t>(</w:t>
      </w:r>
      <w:r w:rsidR="00D77F0E">
        <w:rPr>
          <w:rFonts w:ascii="Bookman Old Style" w:hAnsi="Bookman Old Style"/>
        </w:rPr>
        <w:t>4</w:t>
      </w:r>
      <w:r w:rsidR="00EA4038" w:rsidRPr="003C3292">
        <w:rPr>
          <w:rFonts w:ascii="Bookman Old Style" w:hAnsi="Bookman Old Style"/>
        </w:rPr>
        <w:t xml:space="preserve">) </w:t>
      </w:r>
      <w:r w:rsidR="00693566">
        <w:rPr>
          <w:rFonts w:ascii="Bookman Old Style" w:hAnsi="Bookman Old Style"/>
        </w:rPr>
        <w:t>P</w:t>
      </w:r>
      <w:r w:rsidRPr="003C3292">
        <w:rPr>
          <w:rFonts w:ascii="Bookman Old Style" w:hAnsi="Bookman Old Style"/>
        </w:rPr>
        <w:t>rior to loading cargo units on board ship</w:t>
      </w:r>
      <w:r w:rsidR="0039711B" w:rsidRPr="003C3292">
        <w:rPr>
          <w:rFonts w:ascii="Bookman Old Style" w:hAnsi="Bookman Old Style"/>
        </w:rPr>
        <w:t>s</w:t>
      </w:r>
      <w:r w:rsidRPr="003C3292">
        <w:rPr>
          <w:rFonts w:ascii="Bookman Old Style" w:hAnsi="Bookman Old Style"/>
        </w:rPr>
        <w:t>, the Shipper shall ensure that the gross mass of such units is in accordance with gross mass decl</w:t>
      </w:r>
      <w:r w:rsidR="00686587" w:rsidRPr="003C3292">
        <w:rPr>
          <w:rFonts w:ascii="Bookman Old Style" w:hAnsi="Bookman Old Style"/>
        </w:rPr>
        <w:t>ared on the shipping documents</w:t>
      </w:r>
      <w:r w:rsidR="008B3199" w:rsidRPr="003C3292">
        <w:rPr>
          <w:rFonts w:ascii="Bookman Old Style" w:hAnsi="Bookman Old Style"/>
        </w:rPr>
        <w:t xml:space="preserve"> </w:t>
      </w:r>
      <w:r w:rsidR="008B3199" w:rsidRPr="00AD2139">
        <w:rPr>
          <w:rFonts w:ascii="Bookman Old Style" w:hAnsi="Bookman Old Style"/>
          <w:color w:val="215E99" w:themeColor="text2" w:themeTint="BF"/>
        </w:rPr>
        <w:t>and ascertained in accordance with relevant notice</w:t>
      </w:r>
      <w:r w:rsidR="00AC2B54" w:rsidRPr="00AD2139">
        <w:rPr>
          <w:rFonts w:ascii="Bookman Old Style" w:hAnsi="Bookman Old Style"/>
          <w:color w:val="215E99" w:themeColor="text2" w:themeTint="BF"/>
        </w:rPr>
        <w:t>(s) issued</w:t>
      </w:r>
      <w:r w:rsidR="00AD2139" w:rsidRPr="00AD2139">
        <w:rPr>
          <w:rFonts w:ascii="Bookman Old Style" w:hAnsi="Bookman Old Style"/>
          <w:color w:val="215E99" w:themeColor="text2" w:themeTint="BF"/>
        </w:rPr>
        <w:t xml:space="preserve"> by the competent authority.</w:t>
      </w:r>
    </w:p>
    <w:p w14:paraId="0628E91B" w14:textId="5DE876B1" w:rsidR="006C0378" w:rsidRPr="003C3292" w:rsidRDefault="006C0378" w:rsidP="007D6E38">
      <w:pPr>
        <w:pStyle w:val="Heading4"/>
        <w:snapToGrid w:val="0"/>
        <w:spacing w:before="120" w:after="120"/>
        <w:jc w:val="both"/>
        <w:rPr>
          <w:rFonts w:ascii="Bookman Old Style" w:hAnsi="Bookman Old Style" w:cs="Arial"/>
          <w:b w:val="0"/>
          <w:bCs w:val="0"/>
          <w:color w:val="000000"/>
          <w:sz w:val="20"/>
          <w:szCs w:val="16"/>
        </w:rPr>
      </w:pPr>
      <w:r w:rsidRPr="003C3292">
        <w:rPr>
          <w:rFonts w:ascii="Bookman Old Style" w:hAnsi="Bookman Old Style" w:cs="Arial"/>
          <w:b w:val="0"/>
          <w:bCs w:val="0"/>
          <w:color w:val="000000"/>
          <w:sz w:val="24"/>
          <w:szCs w:val="16"/>
        </w:rPr>
        <w:t>(</w:t>
      </w:r>
      <w:r w:rsidR="00D77F0E">
        <w:rPr>
          <w:rFonts w:ascii="Bookman Old Style" w:hAnsi="Bookman Old Style" w:cs="Arial"/>
          <w:b w:val="0"/>
          <w:bCs w:val="0"/>
          <w:color w:val="000000"/>
          <w:sz w:val="24"/>
          <w:szCs w:val="16"/>
        </w:rPr>
        <w:t>5</w:t>
      </w:r>
      <w:r w:rsidRPr="003C3292">
        <w:rPr>
          <w:rFonts w:ascii="Bookman Old Style" w:hAnsi="Bookman Old Style" w:cs="Arial"/>
          <w:b w:val="0"/>
          <w:bCs w:val="0"/>
          <w:color w:val="000000"/>
          <w:sz w:val="24"/>
          <w:szCs w:val="16"/>
        </w:rPr>
        <w:t>) In the case of cargo carried in a container</w:t>
      </w:r>
      <w:r w:rsidR="00BD63CF">
        <w:rPr>
          <w:rStyle w:val="FootnoteReference"/>
          <w:rFonts w:ascii="Bookman Old Style" w:hAnsi="Bookman Old Style" w:cs="Arial"/>
          <w:b w:val="0"/>
          <w:bCs w:val="0"/>
          <w:color w:val="000000"/>
          <w:sz w:val="24"/>
          <w:szCs w:val="16"/>
        </w:rPr>
        <w:footnoteReference w:id="4"/>
      </w:r>
      <w:r w:rsidRPr="003C3292">
        <w:rPr>
          <w:rFonts w:ascii="Bookman Old Style" w:hAnsi="Bookman Old Style" w:cs="Arial"/>
          <w:b w:val="0"/>
          <w:bCs w:val="0"/>
          <w:color w:val="000000"/>
          <w:sz w:val="24"/>
          <w:szCs w:val="16"/>
        </w:rPr>
        <w:t xml:space="preserve">, except for containers carried on a chassis or a trailer when such containers are driven on or off a ro-ro ship engaged in short international voyages as defined in SOLAS </w:t>
      </w:r>
      <w:r w:rsidR="00693566">
        <w:rPr>
          <w:rFonts w:ascii="Bookman Old Style" w:hAnsi="Bookman Old Style" w:cs="Arial"/>
          <w:b w:val="0"/>
          <w:bCs w:val="0"/>
          <w:color w:val="000000"/>
          <w:sz w:val="24"/>
          <w:szCs w:val="16"/>
        </w:rPr>
        <w:t>R</w:t>
      </w:r>
      <w:r w:rsidRPr="003C3292">
        <w:rPr>
          <w:rFonts w:ascii="Bookman Old Style" w:hAnsi="Bookman Old Style" w:cs="Arial"/>
          <w:b w:val="0"/>
          <w:bCs w:val="0"/>
          <w:color w:val="000000"/>
          <w:sz w:val="24"/>
          <w:szCs w:val="16"/>
        </w:rPr>
        <w:t xml:space="preserve">egulation III/3, the gross mass according to </w:t>
      </w:r>
      <w:r w:rsidR="00693566" w:rsidRPr="0074707A">
        <w:rPr>
          <w:rFonts w:ascii="Bookman Old Style" w:hAnsi="Bookman Old Style" w:cs="Arial"/>
          <w:b w:val="0"/>
          <w:bCs w:val="0"/>
          <w:color w:val="000000"/>
          <w:sz w:val="24"/>
          <w:szCs w:val="16"/>
        </w:rPr>
        <w:t>Rule 6</w:t>
      </w:r>
      <w:r w:rsidRPr="0074707A">
        <w:rPr>
          <w:rFonts w:ascii="Bookman Old Style" w:hAnsi="Bookman Old Style" w:cs="Arial"/>
          <w:b w:val="0"/>
          <w:bCs w:val="0"/>
          <w:color w:val="000000"/>
          <w:sz w:val="24"/>
          <w:szCs w:val="16"/>
        </w:rPr>
        <w:t>(</w:t>
      </w:r>
      <w:r w:rsidR="00CE6A0F" w:rsidRPr="0074707A">
        <w:rPr>
          <w:rFonts w:ascii="Bookman Old Style" w:hAnsi="Bookman Old Style" w:cs="Arial"/>
          <w:b w:val="0"/>
          <w:bCs w:val="0"/>
          <w:color w:val="000000"/>
          <w:sz w:val="24"/>
          <w:szCs w:val="16"/>
        </w:rPr>
        <w:t>4</w:t>
      </w:r>
      <w:r w:rsidRPr="0074707A">
        <w:rPr>
          <w:rFonts w:ascii="Bookman Old Style" w:hAnsi="Bookman Old Style" w:cs="Arial"/>
          <w:b w:val="0"/>
          <w:bCs w:val="0"/>
          <w:color w:val="000000"/>
          <w:sz w:val="24"/>
          <w:szCs w:val="16"/>
        </w:rPr>
        <w:t>) above</w:t>
      </w:r>
      <w:r w:rsidR="00693566">
        <w:rPr>
          <w:rFonts w:ascii="Bookman Old Style" w:hAnsi="Bookman Old Style" w:cs="Arial"/>
          <w:b w:val="0"/>
          <w:bCs w:val="0"/>
          <w:color w:val="000000"/>
          <w:sz w:val="24"/>
          <w:szCs w:val="16"/>
        </w:rPr>
        <w:t>,</w:t>
      </w:r>
      <w:r w:rsidRPr="003C3292">
        <w:rPr>
          <w:rFonts w:ascii="Bookman Old Style" w:hAnsi="Bookman Old Style" w:cs="Arial"/>
          <w:b w:val="0"/>
          <w:bCs w:val="0"/>
          <w:color w:val="000000"/>
          <w:sz w:val="24"/>
          <w:szCs w:val="16"/>
        </w:rPr>
        <w:t xml:space="preserve"> shall be verified by the shipper, either by:</w:t>
      </w:r>
    </w:p>
    <w:p w14:paraId="6A836927" w14:textId="4E1813D4" w:rsidR="006C0378" w:rsidRPr="003C3292" w:rsidRDefault="00CE6A0F" w:rsidP="00CE6A0F">
      <w:pPr>
        <w:pStyle w:val="Heading5"/>
        <w:snapToGrid w:val="0"/>
        <w:spacing w:before="120" w:after="120"/>
        <w:jc w:val="both"/>
        <w:rPr>
          <w:rFonts w:ascii="Bookman Old Style" w:hAnsi="Bookman Old Style" w:cs="Arial"/>
          <w:b w:val="0"/>
          <w:bCs w:val="0"/>
          <w:i w:val="0"/>
          <w:color w:val="000000"/>
          <w:sz w:val="24"/>
          <w:szCs w:val="24"/>
        </w:rPr>
      </w:pPr>
      <w:r>
        <w:rPr>
          <w:rFonts w:ascii="Bookman Old Style" w:hAnsi="Bookman Old Style" w:cs="Arial"/>
          <w:b w:val="0"/>
          <w:bCs w:val="0"/>
          <w:i w:val="0"/>
          <w:color w:val="000000"/>
          <w:sz w:val="24"/>
          <w:szCs w:val="24"/>
        </w:rPr>
        <w:t xml:space="preserve">(a) </w:t>
      </w:r>
      <w:r w:rsidR="006C0378" w:rsidRPr="003C3292">
        <w:rPr>
          <w:rFonts w:ascii="Bookman Old Style" w:hAnsi="Bookman Old Style" w:cs="Arial"/>
          <w:b w:val="0"/>
          <w:bCs w:val="0"/>
          <w:i w:val="0"/>
          <w:color w:val="000000"/>
          <w:sz w:val="24"/>
          <w:szCs w:val="24"/>
        </w:rPr>
        <w:t>weighing the packed container using calibrated and certified equipment; or</w:t>
      </w:r>
    </w:p>
    <w:p w14:paraId="6D47CDE7" w14:textId="77777777" w:rsidR="004979AC" w:rsidRDefault="00CE6A0F" w:rsidP="004979AC">
      <w:pPr>
        <w:pStyle w:val="Heading5"/>
        <w:snapToGrid w:val="0"/>
        <w:spacing w:before="120" w:after="120"/>
        <w:jc w:val="both"/>
        <w:rPr>
          <w:rFonts w:ascii="Bookman Old Style" w:hAnsi="Bookman Old Style" w:cs="Arial"/>
          <w:b w:val="0"/>
          <w:bCs w:val="0"/>
          <w:i w:val="0"/>
          <w:color w:val="000000"/>
          <w:sz w:val="24"/>
          <w:szCs w:val="24"/>
        </w:rPr>
      </w:pPr>
      <w:r>
        <w:rPr>
          <w:rFonts w:ascii="Bookman Old Style" w:hAnsi="Bookman Old Style" w:cs="Arial"/>
          <w:b w:val="0"/>
          <w:bCs w:val="0"/>
          <w:i w:val="0"/>
          <w:color w:val="000000"/>
          <w:sz w:val="24"/>
          <w:szCs w:val="24"/>
        </w:rPr>
        <w:t xml:space="preserve">(b) </w:t>
      </w:r>
      <w:r w:rsidR="006C0378" w:rsidRPr="003C3292">
        <w:rPr>
          <w:rFonts w:ascii="Bookman Old Style" w:hAnsi="Bookman Old Style" w:cs="Arial"/>
          <w:b w:val="0"/>
          <w:bCs w:val="0"/>
          <w:i w:val="0"/>
          <w:color w:val="000000"/>
          <w:sz w:val="24"/>
          <w:szCs w:val="24"/>
        </w:rPr>
        <w:t>weighing all packages and cargo items,</w:t>
      </w:r>
      <w:r w:rsidR="00C50522" w:rsidRPr="003C3292">
        <w:rPr>
          <w:rFonts w:ascii="Bookman Old Style" w:hAnsi="Bookman Old Style" w:cs="Arial"/>
          <w:b w:val="0"/>
          <w:bCs w:val="0"/>
          <w:i w:val="0"/>
          <w:color w:val="000000"/>
          <w:sz w:val="24"/>
          <w:szCs w:val="24"/>
        </w:rPr>
        <w:t xml:space="preserve"> including the mass of pallets, </w:t>
      </w:r>
      <w:r w:rsidR="006C0378" w:rsidRPr="003C3292">
        <w:rPr>
          <w:rFonts w:ascii="Bookman Old Style" w:hAnsi="Bookman Old Style" w:cs="Arial"/>
          <w:b w:val="0"/>
          <w:bCs w:val="0"/>
          <w:i w:val="0"/>
          <w:color w:val="000000"/>
          <w:sz w:val="24"/>
          <w:szCs w:val="24"/>
        </w:rPr>
        <w:t>dunnage and other securing material to be packed in the container and adding the tare mass of the container to the sum of the single masses, applicable at the premises, where packing of the container was completed, using a</w:t>
      </w:r>
      <w:r w:rsidR="009E794A" w:rsidRPr="003C3292">
        <w:rPr>
          <w:rFonts w:ascii="Bookman Old Style" w:hAnsi="Bookman Old Style" w:cs="Arial"/>
          <w:b w:val="0"/>
          <w:bCs w:val="0"/>
          <w:i w:val="0"/>
          <w:color w:val="000000"/>
          <w:sz w:val="24"/>
          <w:szCs w:val="24"/>
        </w:rPr>
        <w:t>n</w:t>
      </w:r>
      <w:r w:rsidR="006C0378" w:rsidRPr="003C3292">
        <w:rPr>
          <w:rFonts w:ascii="Bookman Old Style" w:hAnsi="Bookman Old Style" w:cs="Arial"/>
          <w:b w:val="0"/>
          <w:bCs w:val="0"/>
          <w:i w:val="0"/>
          <w:color w:val="000000"/>
          <w:sz w:val="24"/>
          <w:szCs w:val="24"/>
        </w:rPr>
        <w:t xml:space="preserve"> approved &amp; certified method as prescribed by the </w:t>
      </w:r>
      <w:r w:rsidR="00693566">
        <w:rPr>
          <w:rFonts w:ascii="Bookman Old Style" w:hAnsi="Bookman Old Style" w:cs="Arial"/>
          <w:b w:val="0"/>
          <w:bCs w:val="0"/>
          <w:i w:val="0"/>
          <w:color w:val="000000"/>
          <w:sz w:val="24"/>
          <w:szCs w:val="24"/>
        </w:rPr>
        <w:t>n</w:t>
      </w:r>
      <w:r w:rsidR="006C0378" w:rsidRPr="003C3292">
        <w:rPr>
          <w:rFonts w:ascii="Bookman Old Style" w:hAnsi="Bookman Old Style" w:cs="Arial"/>
          <w:b w:val="0"/>
          <w:bCs w:val="0"/>
          <w:i w:val="0"/>
          <w:color w:val="000000"/>
          <w:sz w:val="24"/>
          <w:szCs w:val="24"/>
        </w:rPr>
        <w:t>otice</w:t>
      </w:r>
      <w:r w:rsidR="00693566">
        <w:rPr>
          <w:rFonts w:ascii="Bookman Old Style" w:hAnsi="Bookman Old Style" w:cs="Arial"/>
          <w:b w:val="0"/>
          <w:bCs w:val="0"/>
          <w:i w:val="0"/>
          <w:color w:val="000000"/>
          <w:sz w:val="24"/>
          <w:szCs w:val="24"/>
        </w:rPr>
        <w:t>(s)</w:t>
      </w:r>
      <w:r w:rsidR="006C0378" w:rsidRPr="003C3292">
        <w:rPr>
          <w:rFonts w:ascii="Bookman Old Style" w:hAnsi="Bookman Old Style" w:cs="Arial"/>
          <w:b w:val="0"/>
          <w:bCs w:val="0"/>
          <w:i w:val="0"/>
          <w:color w:val="000000"/>
          <w:sz w:val="24"/>
          <w:szCs w:val="24"/>
        </w:rPr>
        <w:t xml:space="preserve"> issued from time to time</w:t>
      </w:r>
      <w:r w:rsidR="009E794A" w:rsidRPr="003C3292">
        <w:rPr>
          <w:rFonts w:ascii="Bookman Old Style" w:hAnsi="Bookman Old Style" w:cs="Arial"/>
          <w:b w:val="0"/>
          <w:bCs w:val="0"/>
          <w:i w:val="0"/>
          <w:color w:val="000000"/>
          <w:sz w:val="24"/>
          <w:szCs w:val="24"/>
        </w:rPr>
        <w:t>.</w:t>
      </w:r>
      <w:r w:rsidR="006C0378" w:rsidRPr="003C3292">
        <w:rPr>
          <w:rFonts w:ascii="Bookman Old Style" w:hAnsi="Bookman Old Style" w:cs="Arial"/>
          <w:b w:val="0"/>
          <w:bCs w:val="0"/>
          <w:i w:val="0"/>
          <w:color w:val="000000"/>
          <w:sz w:val="24"/>
          <w:szCs w:val="24"/>
        </w:rPr>
        <w:t xml:space="preserve"> </w:t>
      </w:r>
    </w:p>
    <w:p w14:paraId="546B3773" w14:textId="77777777" w:rsidR="004979AC" w:rsidRDefault="009E794A" w:rsidP="004979AC">
      <w:pPr>
        <w:pStyle w:val="Heading5"/>
        <w:snapToGrid w:val="0"/>
        <w:spacing w:before="120" w:after="120"/>
        <w:jc w:val="both"/>
        <w:rPr>
          <w:rFonts w:ascii="Bookman Old Style" w:hAnsi="Bookman Old Style" w:cs="Arial"/>
          <w:b w:val="0"/>
          <w:bCs w:val="0"/>
          <w:i w:val="0"/>
          <w:iCs w:val="0"/>
          <w:color w:val="000000"/>
          <w:sz w:val="24"/>
          <w:szCs w:val="24"/>
        </w:rPr>
      </w:pPr>
      <w:r w:rsidRPr="004979AC">
        <w:rPr>
          <w:rFonts w:ascii="Bookman Old Style" w:hAnsi="Bookman Old Style" w:cs="Arial"/>
          <w:b w:val="0"/>
          <w:bCs w:val="0"/>
          <w:i w:val="0"/>
          <w:iCs w:val="0"/>
          <w:color w:val="000000"/>
          <w:sz w:val="24"/>
          <w:szCs w:val="24"/>
        </w:rPr>
        <w:lastRenderedPageBreak/>
        <w:t>(</w:t>
      </w:r>
      <w:r w:rsidR="00CE6A0F" w:rsidRPr="004979AC">
        <w:rPr>
          <w:rFonts w:ascii="Bookman Old Style" w:hAnsi="Bookman Old Style" w:cs="Arial"/>
          <w:b w:val="0"/>
          <w:bCs w:val="0"/>
          <w:i w:val="0"/>
          <w:iCs w:val="0"/>
          <w:color w:val="000000"/>
          <w:sz w:val="24"/>
          <w:szCs w:val="24"/>
        </w:rPr>
        <w:t>6</w:t>
      </w:r>
      <w:r w:rsidRPr="004979AC">
        <w:rPr>
          <w:rFonts w:ascii="Bookman Old Style" w:hAnsi="Bookman Old Style" w:cs="Arial"/>
          <w:b w:val="0"/>
          <w:bCs w:val="0"/>
          <w:i w:val="0"/>
          <w:iCs w:val="0"/>
          <w:color w:val="000000"/>
          <w:sz w:val="24"/>
          <w:szCs w:val="24"/>
        </w:rPr>
        <w:t>)</w:t>
      </w:r>
      <w:r w:rsidR="006C0378" w:rsidRPr="004979AC">
        <w:rPr>
          <w:rFonts w:ascii="Bookman Old Style" w:hAnsi="Bookman Old Style" w:cs="Arial"/>
          <w:b w:val="0"/>
          <w:bCs w:val="0"/>
          <w:i w:val="0"/>
          <w:iCs w:val="0"/>
          <w:color w:val="000000"/>
          <w:sz w:val="24"/>
          <w:szCs w:val="24"/>
        </w:rPr>
        <w:t xml:space="preserve"> The shipper of a container shall ensure the verified gross mass</w:t>
      </w:r>
      <w:r w:rsidR="00BF56E6" w:rsidRPr="004979AC">
        <w:rPr>
          <w:rStyle w:val="FootnoteReference"/>
          <w:rFonts w:ascii="Bookman Old Style" w:hAnsi="Bookman Old Style" w:cs="Arial"/>
          <w:b w:val="0"/>
          <w:bCs w:val="0"/>
          <w:i w:val="0"/>
          <w:iCs w:val="0"/>
          <w:color w:val="000000"/>
          <w:sz w:val="24"/>
          <w:szCs w:val="24"/>
        </w:rPr>
        <w:footnoteReference w:id="5"/>
      </w:r>
      <w:r w:rsidRPr="004979AC">
        <w:rPr>
          <w:rFonts w:ascii="Bookman Old Style" w:hAnsi="Bookman Old Style" w:cs="Arial"/>
          <w:b w:val="0"/>
          <w:bCs w:val="0"/>
          <w:i w:val="0"/>
          <w:iCs w:val="0"/>
          <w:color w:val="000000"/>
          <w:sz w:val="24"/>
          <w:szCs w:val="24"/>
        </w:rPr>
        <w:t xml:space="preserve">, as recommended by Organization, </w:t>
      </w:r>
      <w:r w:rsidR="006C0378" w:rsidRPr="004979AC">
        <w:rPr>
          <w:rFonts w:ascii="Bookman Old Style" w:hAnsi="Bookman Old Style" w:cs="Arial"/>
          <w:b w:val="0"/>
          <w:bCs w:val="0"/>
          <w:i w:val="0"/>
          <w:iCs w:val="0"/>
          <w:color w:val="000000"/>
          <w:sz w:val="24"/>
          <w:szCs w:val="24"/>
        </w:rPr>
        <w:t>is stated in the shipping document. The shipping document shall be:</w:t>
      </w:r>
    </w:p>
    <w:p w14:paraId="0B6B71B4" w14:textId="6D766E4B" w:rsidR="00B80361" w:rsidRDefault="00CE6A0F" w:rsidP="004979AC">
      <w:pPr>
        <w:pStyle w:val="Heading5"/>
        <w:snapToGrid w:val="0"/>
        <w:spacing w:before="120" w:after="120"/>
        <w:jc w:val="both"/>
        <w:rPr>
          <w:rFonts w:ascii="Bookman Old Style" w:hAnsi="Bookman Old Style" w:cs="Arial"/>
          <w:b w:val="0"/>
          <w:bCs w:val="0"/>
          <w:i w:val="0"/>
          <w:iCs w:val="0"/>
          <w:color w:val="000000"/>
          <w:sz w:val="24"/>
          <w:szCs w:val="24"/>
        </w:rPr>
      </w:pPr>
      <w:r w:rsidRPr="004979AC">
        <w:rPr>
          <w:rFonts w:ascii="Bookman Old Style" w:hAnsi="Bookman Old Style" w:cs="Arial"/>
          <w:b w:val="0"/>
          <w:bCs w:val="0"/>
          <w:i w:val="0"/>
          <w:iCs w:val="0"/>
          <w:color w:val="000000"/>
          <w:sz w:val="24"/>
          <w:szCs w:val="24"/>
        </w:rPr>
        <w:t xml:space="preserve">(a) </w:t>
      </w:r>
      <w:r w:rsidR="006C0378" w:rsidRPr="004979AC">
        <w:rPr>
          <w:rFonts w:ascii="Bookman Old Style" w:hAnsi="Bookman Old Style" w:cs="Arial"/>
          <w:b w:val="0"/>
          <w:bCs w:val="0"/>
          <w:i w:val="0"/>
          <w:iCs w:val="0"/>
          <w:color w:val="000000"/>
          <w:sz w:val="24"/>
          <w:szCs w:val="24"/>
        </w:rPr>
        <w:t>signed by a person duly authorized by the shipper; and</w:t>
      </w:r>
      <w:r w:rsidR="004979AC">
        <w:rPr>
          <w:rFonts w:ascii="Bookman Old Style" w:hAnsi="Bookman Old Style" w:cs="Arial"/>
          <w:b w:val="0"/>
          <w:bCs w:val="0"/>
          <w:i w:val="0"/>
          <w:iCs w:val="0"/>
          <w:color w:val="000000"/>
          <w:sz w:val="24"/>
          <w:szCs w:val="24"/>
        </w:rPr>
        <w:t xml:space="preserve"> </w:t>
      </w:r>
    </w:p>
    <w:p w14:paraId="0B3A6582" w14:textId="219C7CC6" w:rsidR="009E794A" w:rsidRPr="004979AC" w:rsidRDefault="00CE6A0F" w:rsidP="004979AC">
      <w:pPr>
        <w:pStyle w:val="Heading5"/>
        <w:snapToGrid w:val="0"/>
        <w:spacing w:before="120" w:after="120"/>
        <w:jc w:val="both"/>
        <w:rPr>
          <w:rFonts w:ascii="Bookman Old Style" w:hAnsi="Bookman Old Style" w:cs="Arial"/>
          <w:b w:val="0"/>
          <w:bCs w:val="0"/>
          <w:i w:val="0"/>
          <w:iCs w:val="0"/>
          <w:color w:val="000000"/>
          <w:sz w:val="24"/>
          <w:szCs w:val="24"/>
        </w:rPr>
      </w:pPr>
      <w:r w:rsidRPr="004979AC">
        <w:rPr>
          <w:rFonts w:ascii="Bookman Old Style" w:hAnsi="Bookman Old Style" w:cs="Arial"/>
          <w:b w:val="0"/>
          <w:bCs w:val="0"/>
          <w:i w:val="0"/>
          <w:iCs w:val="0"/>
          <w:color w:val="000000"/>
          <w:sz w:val="24"/>
          <w:szCs w:val="24"/>
        </w:rPr>
        <w:t xml:space="preserve">(b) </w:t>
      </w:r>
      <w:r w:rsidR="006C0378" w:rsidRPr="004979AC">
        <w:rPr>
          <w:rFonts w:ascii="Bookman Old Style" w:hAnsi="Bookman Old Style" w:cs="Arial"/>
          <w:b w:val="0"/>
          <w:bCs w:val="0"/>
          <w:i w:val="0"/>
          <w:iCs w:val="0"/>
          <w:color w:val="000000"/>
          <w:sz w:val="24"/>
          <w:szCs w:val="24"/>
        </w:rPr>
        <w:t>submitted to the master or his rep</w:t>
      </w:r>
      <w:r w:rsidR="00163EF9" w:rsidRPr="004979AC">
        <w:rPr>
          <w:rFonts w:ascii="Bookman Old Style" w:hAnsi="Bookman Old Style" w:cs="Arial"/>
          <w:b w:val="0"/>
          <w:bCs w:val="0"/>
          <w:i w:val="0"/>
          <w:iCs w:val="0"/>
          <w:color w:val="000000"/>
          <w:sz w:val="24"/>
          <w:szCs w:val="24"/>
        </w:rPr>
        <w:t xml:space="preserve">resentative and to the terminal </w:t>
      </w:r>
      <w:r w:rsidR="006C0378" w:rsidRPr="004979AC">
        <w:rPr>
          <w:rFonts w:ascii="Bookman Old Style" w:hAnsi="Bookman Old Style" w:cs="Arial"/>
          <w:b w:val="0"/>
          <w:bCs w:val="0"/>
          <w:i w:val="0"/>
          <w:iCs w:val="0"/>
          <w:color w:val="000000"/>
          <w:sz w:val="24"/>
          <w:szCs w:val="24"/>
        </w:rPr>
        <w:t>representative sufficiently in advance, as required by the master or his representative, to be used in the preparation of the ship stowage plan</w:t>
      </w:r>
      <w:r w:rsidR="00D144BF" w:rsidRPr="004979AC">
        <w:rPr>
          <w:rStyle w:val="FootnoteReference"/>
          <w:rFonts w:ascii="Bookman Old Style" w:hAnsi="Bookman Old Style" w:cs="Arial"/>
          <w:b w:val="0"/>
          <w:bCs w:val="0"/>
          <w:i w:val="0"/>
          <w:iCs w:val="0"/>
          <w:color w:val="000000"/>
          <w:sz w:val="24"/>
          <w:szCs w:val="24"/>
        </w:rPr>
        <w:footnoteReference w:id="6"/>
      </w:r>
      <w:r w:rsidR="006C0378" w:rsidRPr="004979AC">
        <w:rPr>
          <w:rFonts w:ascii="Bookman Old Style" w:hAnsi="Bookman Old Style" w:cs="Arial"/>
          <w:b w:val="0"/>
          <w:bCs w:val="0"/>
          <w:i w:val="0"/>
          <w:iCs w:val="0"/>
          <w:color w:val="000000"/>
          <w:sz w:val="24"/>
          <w:szCs w:val="24"/>
        </w:rPr>
        <w:t>.</w:t>
      </w:r>
    </w:p>
    <w:p w14:paraId="731A512D" w14:textId="1DB620D6" w:rsidR="00166303" w:rsidRPr="00413804" w:rsidRDefault="009E794A" w:rsidP="00413804">
      <w:pPr>
        <w:pStyle w:val="Heading4"/>
        <w:snapToGrid w:val="0"/>
        <w:spacing w:before="120" w:after="120"/>
        <w:jc w:val="both"/>
        <w:rPr>
          <w:rFonts w:ascii="Bookman Old Style" w:hAnsi="Bookman Old Style" w:cs="Arial"/>
          <w:b w:val="0"/>
          <w:bCs w:val="0"/>
          <w:color w:val="000000"/>
          <w:sz w:val="24"/>
          <w:szCs w:val="24"/>
        </w:rPr>
      </w:pPr>
      <w:r w:rsidRPr="003C3292">
        <w:rPr>
          <w:rFonts w:ascii="Bookman Old Style" w:hAnsi="Bookman Old Style" w:cs="Arial"/>
          <w:b w:val="0"/>
          <w:bCs w:val="0"/>
          <w:color w:val="000000"/>
          <w:sz w:val="24"/>
          <w:szCs w:val="24"/>
        </w:rPr>
        <w:t>(</w:t>
      </w:r>
      <w:r w:rsidR="00522175">
        <w:rPr>
          <w:rFonts w:ascii="Bookman Old Style" w:hAnsi="Bookman Old Style" w:cs="Arial"/>
          <w:b w:val="0"/>
          <w:bCs w:val="0"/>
          <w:color w:val="000000"/>
          <w:sz w:val="24"/>
          <w:szCs w:val="24"/>
        </w:rPr>
        <w:t>7</w:t>
      </w:r>
      <w:r w:rsidRPr="003C3292">
        <w:rPr>
          <w:rFonts w:ascii="Bookman Old Style" w:hAnsi="Bookman Old Style" w:cs="Arial"/>
          <w:b w:val="0"/>
          <w:bCs w:val="0"/>
          <w:color w:val="000000"/>
          <w:sz w:val="24"/>
          <w:szCs w:val="24"/>
        </w:rPr>
        <w:t>)</w:t>
      </w:r>
      <w:r w:rsidR="006C0378" w:rsidRPr="003C3292">
        <w:rPr>
          <w:rFonts w:ascii="Bookman Old Style" w:hAnsi="Bookman Old Style" w:cs="Arial"/>
          <w:b w:val="0"/>
          <w:bCs w:val="0"/>
          <w:color w:val="000000"/>
          <w:sz w:val="24"/>
          <w:szCs w:val="24"/>
        </w:rPr>
        <w:t xml:space="preserve"> If the shipping document, </w:t>
      </w:r>
      <w:proofErr w:type="gramStart"/>
      <w:r w:rsidR="006C0378" w:rsidRPr="003C3292">
        <w:rPr>
          <w:rFonts w:ascii="Bookman Old Style" w:hAnsi="Bookman Old Style" w:cs="Arial"/>
          <w:b w:val="0"/>
          <w:bCs w:val="0"/>
          <w:color w:val="000000"/>
          <w:sz w:val="24"/>
          <w:szCs w:val="24"/>
        </w:rPr>
        <w:t>with regard to</w:t>
      </w:r>
      <w:proofErr w:type="gramEnd"/>
      <w:r w:rsidR="006C0378" w:rsidRPr="003C3292">
        <w:rPr>
          <w:rFonts w:ascii="Bookman Old Style" w:hAnsi="Bookman Old Style" w:cs="Arial"/>
          <w:b w:val="0"/>
          <w:bCs w:val="0"/>
          <w:color w:val="000000"/>
          <w:sz w:val="24"/>
          <w:szCs w:val="24"/>
        </w:rPr>
        <w:t xml:space="preserve"> a packed container, does not provide the verified gross mass and the master or his representative and the terminal representative have not obtained the verified gross mass of the packed container, it shall not be loaded on to the ship. </w:t>
      </w:r>
    </w:p>
    <w:p w14:paraId="4CFCB51D" w14:textId="77777777" w:rsidR="00F82539" w:rsidRDefault="00F82539" w:rsidP="007D6E38">
      <w:pPr>
        <w:snapToGrid w:val="0"/>
        <w:spacing w:before="120" w:after="120"/>
        <w:jc w:val="both"/>
        <w:rPr>
          <w:rFonts w:ascii="Bookman Old Style" w:hAnsi="Bookman Old Style"/>
        </w:rPr>
      </w:pPr>
    </w:p>
    <w:p w14:paraId="4A268FF8" w14:textId="66F58B5D" w:rsidR="00163EF9" w:rsidRPr="00522175" w:rsidRDefault="00C3322C" w:rsidP="007D6E38">
      <w:pPr>
        <w:pStyle w:val="ListParagraph"/>
        <w:numPr>
          <w:ilvl w:val="0"/>
          <w:numId w:val="51"/>
        </w:numPr>
        <w:snapToGrid w:val="0"/>
        <w:spacing w:before="120" w:after="120"/>
        <w:ind w:left="0" w:firstLine="0"/>
        <w:jc w:val="both"/>
        <w:rPr>
          <w:rFonts w:ascii="Bookman Old Style" w:hAnsi="Bookman Old Style"/>
          <w:b/>
        </w:rPr>
      </w:pPr>
      <w:r w:rsidRPr="00522175">
        <w:rPr>
          <w:rFonts w:ascii="Bookman Old Style" w:hAnsi="Bookman Old Style"/>
          <w:b/>
        </w:rPr>
        <w:t>Oxygen Analy</w:t>
      </w:r>
      <w:r w:rsidR="00740E3F" w:rsidRPr="00522175">
        <w:rPr>
          <w:rFonts w:ascii="Bookman Old Style" w:hAnsi="Bookman Old Style"/>
          <w:b/>
        </w:rPr>
        <w:t>sis and Gas Detection Equipm</w:t>
      </w:r>
      <w:r w:rsidR="00686587" w:rsidRPr="00522175">
        <w:rPr>
          <w:rFonts w:ascii="Bookman Old Style" w:hAnsi="Bookman Old Style"/>
          <w:b/>
        </w:rPr>
        <w:t>ent:</w:t>
      </w:r>
    </w:p>
    <w:p w14:paraId="76889A6B" w14:textId="5E67124A" w:rsidR="00337213" w:rsidRDefault="00337213" w:rsidP="007D6E38">
      <w:pPr>
        <w:snapToGrid w:val="0"/>
        <w:spacing w:before="120" w:after="120"/>
        <w:jc w:val="both"/>
        <w:rPr>
          <w:rFonts w:ascii="Bookman Old Style" w:hAnsi="Bookman Old Style"/>
        </w:rPr>
      </w:pPr>
      <w:r>
        <w:rPr>
          <w:rFonts w:ascii="Bookman Old Style" w:hAnsi="Bookman Old Style"/>
        </w:rPr>
        <w:t xml:space="preserve">(1) </w:t>
      </w:r>
      <w:r w:rsidR="00AA3B11" w:rsidRPr="003C3292">
        <w:rPr>
          <w:rFonts w:ascii="Bookman Old Style" w:hAnsi="Bookman Old Style"/>
        </w:rPr>
        <w:t xml:space="preserve">Every ship, when </w:t>
      </w:r>
      <w:r w:rsidR="0039711B" w:rsidRPr="003C3292">
        <w:rPr>
          <w:rFonts w:ascii="Bookman Old Style" w:hAnsi="Bookman Old Style"/>
        </w:rPr>
        <w:t xml:space="preserve">transporting </w:t>
      </w:r>
      <w:r w:rsidR="005518E6" w:rsidRPr="003C3292">
        <w:rPr>
          <w:rFonts w:ascii="Bookman Old Style" w:hAnsi="Bookman Old Style"/>
        </w:rPr>
        <w:t xml:space="preserve">a solid </w:t>
      </w:r>
      <w:r w:rsidR="0039711B" w:rsidRPr="003C3292">
        <w:rPr>
          <w:rFonts w:ascii="Bookman Old Style" w:hAnsi="Bookman Old Style"/>
        </w:rPr>
        <w:t xml:space="preserve">bulk </w:t>
      </w:r>
      <w:r w:rsidR="00AA3B11" w:rsidRPr="003C3292">
        <w:rPr>
          <w:rFonts w:ascii="Bookman Old Style" w:hAnsi="Bookman Old Style"/>
        </w:rPr>
        <w:t>cargo which is liable to emit a toxic or flammable gas or cause oxygen depletion in the cargo space, an appropriate</w:t>
      </w:r>
      <w:r w:rsidR="00B662E9" w:rsidRPr="003C3292">
        <w:rPr>
          <w:rFonts w:ascii="Bookman Old Style" w:hAnsi="Bookman Old Style"/>
        </w:rPr>
        <w:t xml:space="preserve"> </w:t>
      </w:r>
      <w:r w:rsidR="00AA3B11" w:rsidRPr="003C3292">
        <w:rPr>
          <w:rFonts w:ascii="Bookman Old Style" w:hAnsi="Bookman Old Style"/>
        </w:rPr>
        <w:t>instrument</w:t>
      </w:r>
      <w:r w:rsidR="00686587" w:rsidRPr="003C3292">
        <w:rPr>
          <w:rFonts w:ascii="Bookman Old Style" w:hAnsi="Bookman Old Style"/>
        </w:rPr>
        <w:t xml:space="preserve"> </w:t>
      </w:r>
      <w:r w:rsidR="00AA3B11" w:rsidRPr="003C3292">
        <w:rPr>
          <w:rFonts w:ascii="Bookman Old Style" w:hAnsi="Bookman Old Style"/>
        </w:rPr>
        <w:t>for measuring the conce</w:t>
      </w:r>
      <w:r w:rsidR="0039711B" w:rsidRPr="003C3292">
        <w:rPr>
          <w:rFonts w:ascii="Bookman Old Style" w:hAnsi="Bookman Old Style"/>
        </w:rPr>
        <w:t>n</w:t>
      </w:r>
      <w:r w:rsidR="00AA3B11" w:rsidRPr="003C3292">
        <w:rPr>
          <w:rFonts w:ascii="Bookman Old Style" w:hAnsi="Bookman Old Style"/>
        </w:rPr>
        <w:t xml:space="preserve">tration of gas </w:t>
      </w:r>
      <w:r w:rsidR="00916920">
        <w:rPr>
          <w:rFonts w:ascii="Bookman Old Style" w:hAnsi="Bookman Old Style"/>
        </w:rPr>
        <w:t>and/</w:t>
      </w:r>
      <w:r w:rsidR="00AA3B11" w:rsidRPr="003C3292">
        <w:rPr>
          <w:rFonts w:ascii="Bookman Old Style" w:hAnsi="Bookman Old Style"/>
        </w:rPr>
        <w:t>or oxygen</w:t>
      </w:r>
      <w:r w:rsidR="00B662E9" w:rsidRPr="003C3292">
        <w:rPr>
          <w:rFonts w:ascii="Bookman Old Style" w:hAnsi="Bookman Old Style"/>
        </w:rPr>
        <w:t xml:space="preserve"> in the air</w:t>
      </w:r>
      <w:r w:rsidR="00522175">
        <w:rPr>
          <w:rFonts w:ascii="Bookman Old Style" w:hAnsi="Bookman Old Style"/>
        </w:rPr>
        <w:t xml:space="preserve">, </w:t>
      </w:r>
      <w:r>
        <w:rPr>
          <w:rFonts w:ascii="Bookman Old Style" w:hAnsi="Bookman Old Style"/>
        </w:rPr>
        <w:t>along with d</w:t>
      </w:r>
      <w:r w:rsidR="00AA3B11" w:rsidRPr="003C3292">
        <w:rPr>
          <w:rFonts w:ascii="Bookman Old Style" w:hAnsi="Bookman Old Style"/>
        </w:rPr>
        <w:t>etailed</w:t>
      </w:r>
      <w:r w:rsidR="00522175">
        <w:rPr>
          <w:rFonts w:ascii="Bookman Old Style" w:hAnsi="Bookman Old Style"/>
        </w:rPr>
        <w:t xml:space="preserve"> </w:t>
      </w:r>
      <w:r w:rsidR="00AA3B11" w:rsidRPr="003C3292">
        <w:rPr>
          <w:rFonts w:ascii="Bookman Old Style" w:hAnsi="Bookman Old Style"/>
        </w:rPr>
        <w:t>instruction for use shall be provided</w:t>
      </w:r>
      <w:r>
        <w:rPr>
          <w:rFonts w:ascii="Bookman Old Style" w:hAnsi="Bookman Old Style"/>
        </w:rPr>
        <w:t xml:space="preserve">. </w:t>
      </w:r>
      <w:r w:rsidR="00AA3B11" w:rsidRPr="003C3292">
        <w:rPr>
          <w:rFonts w:ascii="Bookman Old Style" w:hAnsi="Bookman Old Style"/>
        </w:rPr>
        <w:t xml:space="preserve"> </w:t>
      </w:r>
    </w:p>
    <w:p w14:paraId="4BE97D8E" w14:textId="77777777" w:rsidR="001D2DDE" w:rsidRPr="001D2DDE" w:rsidRDefault="00337213" w:rsidP="007D6E38">
      <w:pPr>
        <w:snapToGrid w:val="0"/>
        <w:spacing w:before="120" w:after="120"/>
        <w:jc w:val="both"/>
        <w:rPr>
          <w:rFonts w:ascii="Bookman Old Style" w:hAnsi="Bookman Old Style"/>
          <w:color w:val="215E99" w:themeColor="text2" w:themeTint="BF"/>
        </w:rPr>
      </w:pPr>
      <w:r w:rsidRPr="001D2DDE">
        <w:rPr>
          <w:rFonts w:ascii="Bookman Old Style" w:hAnsi="Bookman Old Style"/>
          <w:color w:val="215E99" w:themeColor="text2" w:themeTint="BF"/>
        </w:rPr>
        <w:t xml:space="preserve">(2) </w:t>
      </w:r>
      <w:r w:rsidR="001D2DDE" w:rsidRPr="001D2DDE">
        <w:rPr>
          <w:rFonts w:ascii="Bookman Old Style" w:hAnsi="Bookman Old Style"/>
          <w:color w:val="215E99" w:themeColor="text2" w:themeTint="BF"/>
        </w:rPr>
        <w:t xml:space="preserve">For </w:t>
      </w:r>
      <w:r w:rsidR="00AA3B11" w:rsidRPr="001D2DDE">
        <w:rPr>
          <w:rFonts w:ascii="Bookman Old Style" w:hAnsi="Bookman Old Style"/>
          <w:color w:val="215E99" w:themeColor="text2" w:themeTint="BF"/>
        </w:rPr>
        <w:t xml:space="preserve">every such </w:t>
      </w:r>
      <w:r w:rsidRPr="001D2DDE">
        <w:rPr>
          <w:rFonts w:ascii="Bookman Old Style" w:hAnsi="Bookman Old Style"/>
          <w:color w:val="215E99" w:themeColor="text2" w:themeTint="BF"/>
        </w:rPr>
        <w:t xml:space="preserve">gas </w:t>
      </w:r>
      <w:r w:rsidR="00AA3B11" w:rsidRPr="001D2DDE">
        <w:rPr>
          <w:rFonts w:ascii="Bookman Old Style" w:hAnsi="Bookman Old Style"/>
          <w:color w:val="215E99" w:themeColor="text2" w:themeTint="BF"/>
        </w:rPr>
        <w:t xml:space="preserve">instrument </w:t>
      </w:r>
      <w:r w:rsidR="001D2DDE" w:rsidRPr="001D2DDE">
        <w:rPr>
          <w:rFonts w:ascii="Bookman Old Style" w:hAnsi="Bookman Old Style"/>
          <w:color w:val="215E99" w:themeColor="text2" w:themeTint="BF"/>
        </w:rPr>
        <w:t>provided following needs to be complied with:</w:t>
      </w:r>
    </w:p>
    <w:p w14:paraId="446E0385" w14:textId="65CB88F3" w:rsidR="00740E3F" w:rsidRPr="001D2DDE" w:rsidRDefault="001D2DDE" w:rsidP="007D6E38">
      <w:pPr>
        <w:snapToGrid w:val="0"/>
        <w:spacing w:before="120" w:after="120"/>
        <w:jc w:val="both"/>
        <w:rPr>
          <w:rFonts w:ascii="Bookman Old Style" w:hAnsi="Bookman Old Style"/>
          <w:color w:val="215E99" w:themeColor="text2" w:themeTint="BF"/>
        </w:rPr>
      </w:pPr>
      <w:r w:rsidRPr="001D2DDE">
        <w:rPr>
          <w:rFonts w:ascii="Bookman Old Style" w:hAnsi="Bookman Old Style"/>
          <w:color w:val="215E99" w:themeColor="text2" w:themeTint="BF"/>
        </w:rPr>
        <w:t>(a) C</w:t>
      </w:r>
      <w:r w:rsidR="00AA3B11" w:rsidRPr="001D2DDE">
        <w:rPr>
          <w:rFonts w:ascii="Bookman Old Style" w:hAnsi="Bookman Old Style"/>
          <w:color w:val="215E99" w:themeColor="text2" w:themeTint="BF"/>
        </w:rPr>
        <w:t xml:space="preserve">rew </w:t>
      </w:r>
      <w:r w:rsidR="00B662E9" w:rsidRPr="001D2DDE">
        <w:rPr>
          <w:rFonts w:ascii="Bookman Old Style" w:hAnsi="Bookman Old Style"/>
          <w:color w:val="215E99" w:themeColor="text2" w:themeTint="BF"/>
        </w:rPr>
        <w:t xml:space="preserve">members </w:t>
      </w:r>
      <w:r w:rsidR="00AA3B11" w:rsidRPr="001D2DDE">
        <w:rPr>
          <w:rFonts w:ascii="Bookman Old Style" w:hAnsi="Bookman Old Style"/>
          <w:color w:val="215E99" w:themeColor="text2" w:themeTint="BF"/>
        </w:rPr>
        <w:t>on such ship</w:t>
      </w:r>
      <w:r w:rsidR="00337213" w:rsidRPr="001D2DDE">
        <w:rPr>
          <w:rFonts w:ascii="Bookman Old Style" w:hAnsi="Bookman Old Style"/>
          <w:color w:val="215E99" w:themeColor="text2" w:themeTint="BF"/>
        </w:rPr>
        <w:t>,</w:t>
      </w:r>
      <w:r w:rsidR="00AA3B11" w:rsidRPr="001D2DDE">
        <w:rPr>
          <w:rFonts w:ascii="Bookman Old Style" w:hAnsi="Bookman Old Style"/>
          <w:color w:val="215E99" w:themeColor="text2" w:themeTint="BF"/>
        </w:rPr>
        <w:t xml:space="preserve"> shall be trained in the use of such instrument</w:t>
      </w:r>
      <w:r w:rsidR="00337213" w:rsidRPr="001D2DDE">
        <w:rPr>
          <w:rFonts w:ascii="Bookman Old Style" w:hAnsi="Bookman Old Style"/>
          <w:color w:val="215E99" w:themeColor="text2" w:themeTint="BF"/>
        </w:rPr>
        <w:t>(</w:t>
      </w:r>
      <w:r w:rsidR="00B662E9" w:rsidRPr="001D2DDE">
        <w:rPr>
          <w:rFonts w:ascii="Bookman Old Style" w:hAnsi="Bookman Old Style"/>
          <w:color w:val="215E99" w:themeColor="text2" w:themeTint="BF"/>
        </w:rPr>
        <w:t>s</w:t>
      </w:r>
      <w:r w:rsidR="00337213" w:rsidRPr="001D2DDE">
        <w:rPr>
          <w:rFonts w:ascii="Bookman Old Style" w:hAnsi="Bookman Old Style"/>
          <w:color w:val="215E99" w:themeColor="text2" w:themeTint="BF"/>
        </w:rPr>
        <w:t>)</w:t>
      </w:r>
      <w:r w:rsidR="00AA3B11" w:rsidRPr="001D2DDE">
        <w:rPr>
          <w:rFonts w:ascii="Bookman Old Style" w:hAnsi="Bookman Old Style"/>
          <w:color w:val="215E99" w:themeColor="text2" w:themeTint="BF"/>
        </w:rPr>
        <w:t xml:space="preserve"> within two weeks of their joining</w:t>
      </w:r>
      <w:r w:rsidR="00B662E9" w:rsidRPr="001D2DDE">
        <w:rPr>
          <w:rFonts w:ascii="Bookman Old Style" w:hAnsi="Bookman Old Style"/>
          <w:color w:val="215E99" w:themeColor="text2" w:themeTint="BF"/>
        </w:rPr>
        <w:t xml:space="preserve"> or </w:t>
      </w:r>
      <w:r w:rsidR="005518E6" w:rsidRPr="001D2DDE">
        <w:rPr>
          <w:rFonts w:ascii="Bookman Old Style" w:hAnsi="Bookman Old Style"/>
          <w:color w:val="215E99" w:themeColor="text2" w:themeTint="BF"/>
        </w:rPr>
        <w:t>prior entering '</w:t>
      </w:r>
      <w:r w:rsidR="00B662E9" w:rsidRPr="001D2DDE">
        <w:rPr>
          <w:rFonts w:ascii="Bookman Old Style" w:hAnsi="Bookman Old Style"/>
          <w:color w:val="215E99" w:themeColor="text2" w:themeTint="BF"/>
        </w:rPr>
        <w:t>enclosed</w:t>
      </w:r>
      <w:r w:rsidR="005518E6" w:rsidRPr="001D2DDE">
        <w:rPr>
          <w:rFonts w:ascii="Bookman Old Style" w:hAnsi="Bookman Old Style"/>
          <w:color w:val="215E99" w:themeColor="text2" w:themeTint="BF"/>
        </w:rPr>
        <w:t xml:space="preserve"> or confined spaces' </w:t>
      </w:r>
      <w:r w:rsidR="00B662E9" w:rsidRPr="001D2DDE">
        <w:rPr>
          <w:rFonts w:ascii="Bookman Old Style" w:hAnsi="Bookman Old Style"/>
          <w:color w:val="215E99" w:themeColor="text2" w:themeTint="BF"/>
        </w:rPr>
        <w:t xml:space="preserve">or commencement of </w:t>
      </w:r>
      <w:r w:rsidR="00CC203D" w:rsidRPr="001D2DDE">
        <w:rPr>
          <w:rFonts w:ascii="Bookman Old Style" w:hAnsi="Bookman Old Style"/>
          <w:color w:val="215E99" w:themeColor="text2" w:themeTint="BF"/>
        </w:rPr>
        <w:t>cargo</w:t>
      </w:r>
      <w:r w:rsidR="005518E6" w:rsidRPr="001D2DDE">
        <w:rPr>
          <w:rFonts w:ascii="Bookman Old Style" w:hAnsi="Bookman Old Style"/>
          <w:color w:val="215E99" w:themeColor="text2" w:themeTint="BF"/>
        </w:rPr>
        <w:t xml:space="preserve"> operations which a</w:t>
      </w:r>
      <w:r w:rsidR="00CC203D" w:rsidRPr="001D2DDE">
        <w:rPr>
          <w:rFonts w:ascii="Bookman Old Style" w:hAnsi="Bookman Old Style"/>
          <w:color w:val="215E99" w:themeColor="text2" w:themeTint="BF"/>
        </w:rPr>
        <w:t>ffect atmospheric conditions, whichever is earlier and same shall be recorded.</w:t>
      </w:r>
      <w:r w:rsidR="00AA3B11" w:rsidRPr="001D2DDE">
        <w:rPr>
          <w:rFonts w:ascii="Bookman Old Style" w:hAnsi="Bookman Old Style"/>
          <w:color w:val="215E99" w:themeColor="text2" w:themeTint="BF"/>
        </w:rPr>
        <w:t xml:space="preserve"> </w:t>
      </w:r>
    </w:p>
    <w:p w14:paraId="7486E998" w14:textId="50047875" w:rsidR="001D2DDE" w:rsidRPr="003C3292" w:rsidRDefault="001D2DDE" w:rsidP="007D6E38">
      <w:pPr>
        <w:snapToGrid w:val="0"/>
        <w:spacing w:before="120" w:after="120"/>
        <w:jc w:val="both"/>
        <w:rPr>
          <w:rFonts w:ascii="Bookman Old Style" w:hAnsi="Bookman Old Style"/>
        </w:rPr>
      </w:pPr>
      <w:r w:rsidRPr="001D2DDE">
        <w:rPr>
          <w:rFonts w:ascii="Bookman Old Style" w:hAnsi="Bookman Old Style"/>
          <w:color w:val="215E99" w:themeColor="text2" w:themeTint="BF"/>
        </w:rPr>
        <w:t>(b) Each such instrument shall be maintained and periodically calibrated as required by the manufacturer.</w:t>
      </w:r>
    </w:p>
    <w:p w14:paraId="4B89EAC5" w14:textId="77777777" w:rsidR="005518E6" w:rsidRPr="003C3292" w:rsidRDefault="005518E6" w:rsidP="007D6E38">
      <w:pPr>
        <w:snapToGrid w:val="0"/>
        <w:spacing w:before="120" w:after="120"/>
        <w:jc w:val="both"/>
        <w:rPr>
          <w:rFonts w:ascii="Bookman Old Style" w:hAnsi="Bookman Old Style"/>
        </w:rPr>
      </w:pPr>
    </w:p>
    <w:p w14:paraId="63920B89" w14:textId="77777777" w:rsidR="00DA543B" w:rsidRDefault="00740E3F" w:rsidP="006D6615">
      <w:pPr>
        <w:pStyle w:val="ListParagraph"/>
        <w:numPr>
          <w:ilvl w:val="0"/>
          <w:numId w:val="51"/>
        </w:numPr>
        <w:snapToGrid w:val="0"/>
        <w:spacing w:before="120" w:after="120"/>
        <w:ind w:left="0" w:firstLine="0"/>
        <w:contextualSpacing w:val="0"/>
        <w:jc w:val="both"/>
        <w:rPr>
          <w:rFonts w:ascii="Bookman Old Style" w:hAnsi="Bookman Old Style"/>
          <w:b/>
        </w:rPr>
      </w:pPr>
      <w:r w:rsidRPr="00337213">
        <w:rPr>
          <w:rFonts w:ascii="Bookman Old Style" w:hAnsi="Bookman Old Style"/>
          <w:b/>
        </w:rPr>
        <w:t xml:space="preserve">Use of </w:t>
      </w:r>
      <w:r w:rsidR="00F04F44" w:rsidRPr="00337213">
        <w:rPr>
          <w:rFonts w:ascii="Bookman Old Style" w:hAnsi="Bookman Old Style"/>
          <w:b/>
        </w:rPr>
        <w:t>Pesticides</w:t>
      </w:r>
      <w:r w:rsidRPr="00337213">
        <w:rPr>
          <w:rFonts w:ascii="Bookman Old Style" w:hAnsi="Bookman Old Style"/>
          <w:b/>
        </w:rPr>
        <w:t xml:space="preserve"> in Ships</w:t>
      </w:r>
      <w:r w:rsidR="00D144BF">
        <w:rPr>
          <w:rStyle w:val="FootnoteReference"/>
          <w:rFonts w:ascii="Bookman Old Style" w:hAnsi="Bookman Old Style"/>
          <w:b/>
        </w:rPr>
        <w:footnoteReference w:id="7"/>
      </w:r>
      <w:r w:rsidR="00491976" w:rsidRPr="00337213">
        <w:rPr>
          <w:rFonts w:ascii="Bookman Old Style" w:hAnsi="Bookman Old Style"/>
          <w:b/>
        </w:rPr>
        <w:t>:</w:t>
      </w:r>
      <w:r w:rsidR="00B5596B">
        <w:rPr>
          <w:rFonts w:ascii="Bookman Old Style" w:hAnsi="Bookman Old Style"/>
          <w:b/>
        </w:rPr>
        <w:t xml:space="preserve"> </w:t>
      </w:r>
    </w:p>
    <w:p w14:paraId="536266CF" w14:textId="65BBB1C3" w:rsidR="00AA3B11" w:rsidRPr="006D6615" w:rsidRDefault="006D6615" w:rsidP="006D6615">
      <w:pPr>
        <w:pStyle w:val="ListParagraph"/>
        <w:snapToGrid w:val="0"/>
        <w:spacing w:before="120" w:after="120"/>
        <w:ind w:left="0"/>
        <w:contextualSpacing w:val="0"/>
        <w:jc w:val="both"/>
        <w:rPr>
          <w:rFonts w:ascii="Bookman Old Style" w:hAnsi="Bookman Old Style"/>
        </w:rPr>
      </w:pPr>
      <w:r w:rsidRPr="006D6615">
        <w:rPr>
          <w:rFonts w:ascii="Bookman Old Style" w:hAnsi="Bookman Old Style"/>
          <w:bCs/>
        </w:rPr>
        <w:t xml:space="preserve">(1) </w:t>
      </w:r>
      <w:r w:rsidR="00AA3B11" w:rsidRPr="006D6615">
        <w:rPr>
          <w:rFonts w:ascii="Bookman Old Style" w:hAnsi="Bookman Old Style"/>
          <w:bCs/>
        </w:rPr>
        <w:t>Every</w:t>
      </w:r>
      <w:r w:rsidR="00871901" w:rsidRPr="006D6615">
        <w:rPr>
          <w:rFonts w:ascii="Bookman Old Style" w:hAnsi="Bookman Old Style"/>
          <w:bCs/>
        </w:rPr>
        <w:t xml:space="preserve"> </w:t>
      </w:r>
      <w:r w:rsidR="003C0662" w:rsidRPr="006D6615">
        <w:rPr>
          <w:rFonts w:ascii="Bookman Old Style" w:hAnsi="Bookman Old Style"/>
          <w:bCs/>
        </w:rPr>
        <w:t>m</w:t>
      </w:r>
      <w:r w:rsidR="00AA3B11" w:rsidRPr="006D6615">
        <w:rPr>
          <w:rFonts w:ascii="Bookman Old Style" w:hAnsi="Bookman Old Style"/>
          <w:bCs/>
        </w:rPr>
        <w:t>aster</w:t>
      </w:r>
      <w:r w:rsidR="003C0662" w:rsidRPr="006D6615">
        <w:rPr>
          <w:rFonts w:ascii="Bookman Old Style" w:hAnsi="Bookman Old Style"/>
          <w:bCs/>
        </w:rPr>
        <w:t xml:space="preserve"> of a ship</w:t>
      </w:r>
      <w:r w:rsidR="00AA3B11" w:rsidRPr="006D6615">
        <w:rPr>
          <w:rFonts w:ascii="Bookman Old Style" w:hAnsi="Bookman Old Style"/>
          <w:bCs/>
        </w:rPr>
        <w:t xml:space="preserve"> </w:t>
      </w:r>
      <w:r w:rsidR="00F04F44" w:rsidRPr="006D6615">
        <w:rPr>
          <w:rFonts w:ascii="Bookman Old Style" w:hAnsi="Bookman Old Style"/>
          <w:bCs/>
        </w:rPr>
        <w:t>shall take appropriate precautions</w:t>
      </w:r>
      <w:r w:rsidR="00871901" w:rsidRPr="006D6615">
        <w:rPr>
          <w:rFonts w:ascii="Bookman Old Style" w:hAnsi="Bookman Old Style"/>
          <w:bCs/>
        </w:rPr>
        <w:t xml:space="preserve"> in</w:t>
      </w:r>
      <w:r w:rsidR="00F04F44" w:rsidRPr="006D6615">
        <w:rPr>
          <w:rFonts w:ascii="Bookman Old Style" w:hAnsi="Bookman Old Style"/>
          <w:bCs/>
        </w:rPr>
        <w:t xml:space="preserve"> use of</w:t>
      </w:r>
      <w:r w:rsidR="00F04F44" w:rsidRPr="00B5596B">
        <w:rPr>
          <w:rFonts w:ascii="Bookman Old Style" w:hAnsi="Bookman Old Style"/>
        </w:rPr>
        <w:t xml:space="preserve"> </w:t>
      </w:r>
      <w:r w:rsidR="00AA3B11" w:rsidRPr="00B5596B">
        <w:rPr>
          <w:rFonts w:ascii="Bookman Old Style" w:hAnsi="Bookman Old Style"/>
        </w:rPr>
        <w:t xml:space="preserve">pesticides </w:t>
      </w:r>
      <w:r w:rsidR="00F04F44" w:rsidRPr="00B5596B">
        <w:rPr>
          <w:rFonts w:ascii="Bookman Old Style" w:hAnsi="Bookman Old Style"/>
        </w:rPr>
        <w:t>o</w:t>
      </w:r>
      <w:r w:rsidR="00871901" w:rsidRPr="00B5596B">
        <w:rPr>
          <w:rFonts w:ascii="Bookman Old Style" w:hAnsi="Bookman Old Style"/>
        </w:rPr>
        <w:t>n board his</w:t>
      </w:r>
      <w:r w:rsidR="00F04F44" w:rsidRPr="00B5596B">
        <w:rPr>
          <w:rFonts w:ascii="Bookman Old Style" w:hAnsi="Bookman Old Style"/>
        </w:rPr>
        <w:t xml:space="preserve"> ship, in particular </w:t>
      </w:r>
      <w:r w:rsidR="00AA3B11" w:rsidRPr="00B5596B">
        <w:rPr>
          <w:rFonts w:ascii="Bookman Old Style" w:hAnsi="Bookman Old Style"/>
        </w:rPr>
        <w:t>for</w:t>
      </w:r>
      <w:r w:rsidR="00F04F44" w:rsidRPr="00B5596B">
        <w:rPr>
          <w:rFonts w:ascii="Bookman Old Style" w:hAnsi="Bookman Old Style"/>
        </w:rPr>
        <w:t xml:space="preserve"> the purposes of </w:t>
      </w:r>
      <w:r w:rsidR="00AA3B11" w:rsidRPr="00B5596B">
        <w:rPr>
          <w:rFonts w:ascii="Bookman Old Style" w:hAnsi="Bookman Old Style"/>
        </w:rPr>
        <w:t>fumigation</w:t>
      </w:r>
      <w:r w:rsidR="00491976" w:rsidRPr="00B5596B">
        <w:rPr>
          <w:rFonts w:ascii="Bookman Old Style" w:hAnsi="Bookman Old Style"/>
        </w:rPr>
        <w:t xml:space="preserve"> in accordance with</w:t>
      </w:r>
      <w:r w:rsidR="003C0662" w:rsidRPr="00B5596B">
        <w:rPr>
          <w:rFonts w:ascii="Bookman Old Style" w:hAnsi="Bookman Old Style"/>
        </w:rPr>
        <w:t xml:space="preserve"> </w:t>
      </w:r>
      <w:r w:rsidR="00337213" w:rsidRPr="00B5596B">
        <w:rPr>
          <w:rFonts w:ascii="Bookman Old Style" w:hAnsi="Bookman Old Style"/>
        </w:rPr>
        <w:t xml:space="preserve">the </w:t>
      </w:r>
      <w:r w:rsidR="003C0662" w:rsidRPr="006D6615">
        <w:rPr>
          <w:rFonts w:ascii="Bookman Old Style" w:hAnsi="Bookman Old Style"/>
        </w:rPr>
        <w:t>concerned</w:t>
      </w:r>
      <w:r w:rsidR="00491976" w:rsidRPr="006D6615">
        <w:rPr>
          <w:rFonts w:ascii="Bookman Old Style" w:hAnsi="Bookman Old Style"/>
        </w:rPr>
        <w:t xml:space="preserve"> recommendation</w:t>
      </w:r>
      <w:r w:rsidR="00561B63" w:rsidRPr="006D6615">
        <w:rPr>
          <w:rFonts w:ascii="Bookman Old Style" w:hAnsi="Bookman Old Style"/>
        </w:rPr>
        <w:t>(</w:t>
      </w:r>
      <w:r w:rsidR="00491976" w:rsidRPr="006D6615">
        <w:rPr>
          <w:rFonts w:ascii="Bookman Old Style" w:hAnsi="Bookman Old Style"/>
        </w:rPr>
        <w:t>s</w:t>
      </w:r>
      <w:r w:rsidR="00561B63" w:rsidRPr="006D6615">
        <w:rPr>
          <w:rFonts w:ascii="Bookman Old Style" w:hAnsi="Bookman Old Style"/>
        </w:rPr>
        <w:t>)</w:t>
      </w:r>
      <w:r w:rsidR="00491976" w:rsidRPr="006D6615">
        <w:rPr>
          <w:rFonts w:ascii="Bookman Old Style" w:hAnsi="Bookman Old Style"/>
        </w:rPr>
        <w:t xml:space="preserve"> </w:t>
      </w:r>
      <w:r w:rsidR="00252D0D" w:rsidRPr="006D6615">
        <w:rPr>
          <w:rFonts w:ascii="Bookman Old Style" w:hAnsi="Bookman Old Style"/>
        </w:rPr>
        <w:t xml:space="preserve">developed by </w:t>
      </w:r>
      <w:r w:rsidR="00491976" w:rsidRPr="006D6615">
        <w:rPr>
          <w:rFonts w:ascii="Bookman Old Style" w:hAnsi="Bookman Old Style"/>
        </w:rPr>
        <w:t>the Organization</w:t>
      </w:r>
      <w:r w:rsidR="00126E56" w:rsidRPr="006D6615">
        <w:rPr>
          <w:rFonts w:ascii="Bookman Old Style" w:hAnsi="Bookman Old Style"/>
        </w:rPr>
        <w:t xml:space="preserve"> </w:t>
      </w:r>
      <w:r w:rsidR="00F04F44" w:rsidRPr="006D6615">
        <w:rPr>
          <w:rFonts w:ascii="Bookman Old Style" w:hAnsi="Bookman Old Style"/>
        </w:rPr>
        <w:t>to ensure</w:t>
      </w:r>
      <w:r w:rsidR="003C0662" w:rsidRPr="006D6615">
        <w:rPr>
          <w:rFonts w:ascii="Bookman Old Style" w:hAnsi="Bookman Old Style"/>
        </w:rPr>
        <w:t xml:space="preserve"> that </w:t>
      </w:r>
      <w:r w:rsidR="00F04F44" w:rsidRPr="006D6615">
        <w:rPr>
          <w:rFonts w:ascii="Bookman Old Style" w:hAnsi="Bookman Old Style"/>
        </w:rPr>
        <w:t xml:space="preserve">life of his crew and persons involved in fumigation is not endangered. </w:t>
      </w:r>
    </w:p>
    <w:p w14:paraId="3E452CE9" w14:textId="45AD714F" w:rsidR="006D6615" w:rsidRPr="001C1EF6" w:rsidRDefault="006D6615" w:rsidP="006D6615">
      <w:pPr>
        <w:pStyle w:val="ListParagraph"/>
        <w:snapToGrid w:val="0"/>
        <w:spacing w:before="120" w:after="120"/>
        <w:ind w:left="0"/>
        <w:contextualSpacing w:val="0"/>
        <w:jc w:val="both"/>
        <w:rPr>
          <w:rFonts w:ascii="Bookman Old Style" w:hAnsi="Bookman Old Style"/>
          <w:color w:val="215E99" w:themeColor="text2" w:themeTint="BF"/>
        </w:rPr>
      </w:pPr>
      <w:r w:rsidRPr="001C1EF6">
        <w:rPr>
          <w:rFonts w:ascii="Bookman Old Style" w:hAnsi="Bookman Old Style"/>
          <w:color w:val="215E99" w:themeColor="text2" w:themeTint="BF"/>
        </w:rPr>
        <w:lastRenderedPageBreak/>
        <w:t xml:space="preserve">(2) In-transit fumigation </w:t>
      </w:r>
      <w:r w:rsidR="001C1EF6" w:rsidRPr="001C1EF6">
        <w:rPr>
          <w:rFonts w:ascii="Bookman Old Style" w:hAnsi="Bookman Old Style"/>
          <w:color w:val="215E99" w:themeColor="text2" w:themeTint="BF"/>
        </w:rPr>
        <w:t>should only be carried out based upon recommendations of the Organization</w:t>
      </w:r>
      <w:r w:rsidR="001C1EF6" w:rsidRPr="001C1EF6">
        <w:rPr>
          <w:rStyle w:val="FootnoteReference"/>
          <w:rFonts w:ascii="Bookman Old Style" w:hAnsi="Bookman Old Style"/>
          <w:color w:val="215E99" w:themeColor="text2" w:themeTint="BF"/>
        </w:rPr>
        <w:footnoteReference w:id="8"/>
      </w:r>
      <w:r w:rsidR="001C1EF6" w:rsidRPr="001C1EF6">
        <w:rPr>
          <w:rFonts w:ascii="Bookman Old Style" w:hAnsi="Bookman Old Style"/>
          <w:color w:val="215E99" w:themeColor="text2" w:themeTint="BF"/>
        </w:rPr>
        <w:t xml:space="preserve"> and in compliance with the notices issued by competent authority</w:t>
      </w:r>
      <w:r w:rsidR="002E1B91">
        <w:rPr>
          <w:rFonts w:ascii="Bookman Old Style" w:hAnsi="Bookman Old Style"/>
          <w:color w:val="215E99" w:themeColor="text2" w:themeTint="BF"/>
        </w:rPr>
        <w:t xml:space="preserve"> as defined in Rule 4(11)</w:t>
      </w:r>
      <w:r w:rsidR="001C1EF6" w:rsidRPr="001C1EF6">
        <w:rPr>
          <w:rFonts w:ascii="Bookman Old Style" w:hAnsi="Bookman Old Style"/>
          <w:color w:val="215E99" w:themeColor="text2" w:themeTint="BF"/>
        </w:rPr>
        <w:t>, if any.</w:t>
      </w:r>
    </w:p>
    <w:p w14:paraId="6521D4B5" w14:textId="77777777" w:rsidR="00D839A7" w:rsidRPr="006D6615" w:rsidRDefault="00D839A7" w:rsidP="00D839A7">
      <w:pPr>
        <w:snapToGrid w:val="0"/>
        <w:spacing w:before="120" w:after="120"/>
        <w:jc w:val="both"/>
        <w:rPr>
          <w:rFonts w:ascii="Bookman Old Style" w:hAnsi="Bookman Old Style"/>
        </w:rPr>
      </w:pPr>
    </w:p>
    <w:p w14:paraId="49A10590" w14:textId="1E10BF71" w:rsidR="00D839A7" w:rsidRPr="00C0631B" w:rsidRDefault="00D839A7" w:rsidP="00D839A7">
      <w:pPr>
        <w:pStyle w:val="ListParagraph"/>
        <w:numPr>
          <w:ilvl w:val="0"/>
          <w:numId w:val="51"/>
        </w:numPr>
        <w:snapToGrid w:val="0"/>
        <w:spacing w:before="120" w:after="120"/>
        <w:ind w:left="0" w:firstLine="0"/>
        <w:jc w:val="both"/>
        <w:rPr>
          <w:rFonts w:ascii="Bookman Old Style" w:hAnsi="Bookman Old Style"/>
          <w:b/>
        </w:rPr>
      </w:pPr>
      <w:r w:rsidRPr="00D839A7">
        <w:rPr>
          <w:rFonts w:ascii="Bookman Old Style" w:hAnsi="Bookman Old Style"/>
          <w:b/>
        </w:rPr>
        <w:t xml:space="preserve">Stowage and Securing: </w:t>
      </w:r>
      <w:r w:rsidRPr="00C0631B">
        <w:rPr>
          <w:rFonts w:ascii="Bookman Old Style" w:hAnsi="Bookman Old Style"/>
        </w:rPr>
        <w:t xml:space="preserve">When stowing and securing any cargo on board ship, the Master shall comply with the provisions specified in the relevant </w:t>
      </w:r>
      <w:r w:rsidR="007567BE">
        <w:rPr>
          <w:rFonts w:ascii="Bookman Old Style" w:hAnsi="Bookman Old Style"/>
        </w:rPr>
        <w:t>C</w:t>
      </w:r>
      <w:r w:rsidRPr="00C0631B">
        <w:rPr>
          <w:rFonts w:ascii="Bookman Old Style" w:hAnsi="Bookman Old Style"/>
        </w:rPr>
        <w:t>ode for acceptability</w:t>
      </w:r>
      <w:r w:rsidR="00561B63">
        <w:rPr>
          <w:rFonts w:ascii="Bookman Old Style" w:hAnsi="Bookman Old Style"/>
        </w:rPr>
        <w:t>, stowage, and securing of cargoes.</w:t>
      </w:r>
      <w:r w:rsidRPr="00C0631B">
        <w:rPr>
          <w:rFonts w:ascii="Bookman Old Style" w:hAnsi="Bookman Old Style"/>
        </w:rPr>
        <w:t> </w:t>
      </w:r>
    </w:p>
    <w:p w14:paraId="415F3616" w14:textId="69C96FEA" w:rsidR="00D839A7" w:rsidRPr="003C3292" w:rsidRDefault="000830A1" w:rsidP="000830A1">
      <w:pPr>
        <w:snapToGrid w:val="0"/>
        <w:spacing w:before="120" w:after="120"/>
        <w:jc w:val="both"/>
        <w:rPr>
          <w:rFonts w:ascii="Bookman Old Style" w:hAnsi="Bookman Old Style"/>
        </w:rPr>
      </w:pPr>
      <w:r>
        <w:rPr>
          <w:rFonts w:ascii="Bookman Old Style" w:hAnsi="Bookman Old Style"/>
        </w:rPr>
        <w:t xml:space="preserve">(1) </w:t>
      </w:r>
      <w:r w:rsidR="00561B63">
        <w:rPr>
          <w:rFonts w:ascii="Bookman Old Style" w:hAnsi="Bookman Old Style"/>
        </w:rPr>
        <w:t>C</w:t>
      </w:r>
      <w:r w:rsidR="00D839A7" w:rsidRPr="003C3292">
        <w:rPr>
          <w:rFonts w:ascii="Bookman Old Style" w:hAnsi="Bookman Old Style"/>
        </w:rPr>
        <w:t>argo, cargo units</w:t>
      </w:r>
      <w:r w:rsidR="004979AC">
        <w:rPr>
          <w:rStyle w:val="FootnoteReference"/>
          <w:rFonts w:ascii="Bookman Old Style" w:hAnsi="Bookman Old Style"/>
        </w:rPr>
        <w:footnoteReference w:id="9"/>
      </w:r>
      <w:r w:rsidR="00D839A7" w:rsidRPr="003C3292">
        <w:rPr>
          <w:rFonts w:ascii="Bookman Old Style" w:hAnsi="Bookman Old Style"/>
        </w:rPr>
        <w:t xml:space="preserve"> and cargo transport units</w:t>
      </w:r>
      <w:r w:rsidR="004979AC">
        <w:rPr>
          <w:rStyle w:val="FootnoteReference"/>
          <w:rFonts w:ascii="Bookman Old Style" w:hAnsi="Bookman Old Style"/>
        </w:rPr>
        <w:footnoteReference w:id="10"/>
      </w:r>
      <w:r w:rsidR="00D839A7" w:rsidRPr="003C3292">
        <w:rPr>
          <w:rFonts w:ascii="Bookman Old Style" w:hAnsi="Bookman Old Style"/>
        </w:rPr>
        <w:t xml:space="preserve"> carried on or under deck shall be so loaded, stowed and secured</w:t>
      </w:r>
      <w:r>
        <w:rPr>
          <w:rFonts w:ascii="Bookman Old Style" w:hAnsi="Bookman Old Style"/>
        </w:rPr>
        <w:t>,</w:t>
      </w:r>
      <w:r w:rsidR="00D839A7" w:rsidRPr="003C3292">
        <w:rPr>
          <w:rFonts w:ascii="Bookman Old Style" w:hAnsi="Bookman Old Style"/>
        </w:rPr>
        <w:t xml:space="preserve"> as to prevent as far as practicable, throughout the voyage, damage or hazard to the ship and the persons on board and loss of cargo overboard</w:t>
      </w:r>
    </w:p>
    <w:p w14:paraId="7CAABC7C" w14:textId="4F689513" w:rsidR="00D839A7" w:rsidRPr="003C3292" w:rsidRDefault="000830A1" w:rsidP="000830A1">
      <w:pPr>
        <w:snapToGrid w:val="0"/>
        <w:spacing w:before="120" w:after="120"/>
        <w:jc w:val="both"/>
        <w:rPr>
          <w:rFonts w:ascii="Bookman Old Style" w:hAnsi="Bookman Old Style"/>
        </w:rPr>
      </w:pPr>
      <w:r>
        <w:rPr>
          <w:rFonts w:ascii="Bookman Old Style" w:hAnsi="Bookman Old Style"/>
        </w:rPr>
        <w:t xml:space="preserve">(2) </w:t>
      </w:r>
      <w:r w:rsidR="004979AC">
        <w:rPr>
          <w:rFonts w:ascii="Bookman Old Style" w:hAnsi="Bookman Old Style"/>
        </w:rPr>
        <w:t>C</w:t>
      </w:r>
      <w:r w:rsidR="00D839A7" w:rsidRPr="003C3292">
        <w:rPr>
          <w:rFonts w:ascii="Bookman Old Style" w:hAnsi="Bookman Old Style"/>
        </w:rPr>
        <w:t>argo, cargo units and cargo transport units shall be so packed and secured within the unit as to prevent, throughout the voyage, damage or hazard to the ship and the persons on board</w:t>
      </w:r>
    </w:p>
    <w:p w14:paraId="3D0DE0BA" w14:textId="7E2D7447" w:rsidR="00D839A7" w:rsidRPr="003C3292" w:rsidRDefault="000830A1" w:rsidP="000830A1">
      <w:pPr>
        <w:snapToGrid w:val="0"/>
        <w:spacing w:before="120" w:after="120"/>
        <w:jc w:val="both"/>
        <w:rPr>
          <w:rFonts w:ascii="Bookman Old Style" w:hAnsi="Bookman Old Style"/>
        </w:rPr>
      </w:pPr>
      <w:r>
        <w:rPr>
          <w:rFonts w:ascii="Bookman Old Style" w:hAnsi="Bookman Old Style"/>
        </w:rPr>
        <w:t xml:space="preserve">(3) </w:t>
      </w:r>
      <w:r w:rsidR="004979AC">
        <w:rPr>
          <w:rFonts w:ascii="Bookman Old Style" w:hAnsi="Bookman Old Style"/>
        </w:rPr>
        <w:t>A</w:t>
      </w:r>
      <w:r w:rsidR="00D839A7" w:rsidRPr="003C3292">
        <w:rPr>
          <w:rFonts w:ascii="Bookman Old Style" w:hAnsi="Bookman Old Style"/>
        </w:rPr>
        <w:t>ppropriate precautions shall be taken during loading and transport of heavy cargoes or cargoes with abnormal physical dimensions to ensure that no structural damage to the ship occurs and to maintain adequate stability throughout the voyage</w:t>
      </w:r>
    </w:p>
    <w:p w14:paraId="587306D3" w14:textId="22188A55" w:rsidR="00D839A7" w:rsidRPr="003C3292" w:rsidRDefault="000830A1" w:rsidP="000830A1">
      <w:pPr>
        <w:snapToGrid w:val="0"/>
        <w:spacing w:before="120" w:after="120"/>
        <w:jc w:val="both"/>
        <w:rPr>
          <w:rFonts w:ascii="Bookman Old Style" w:hAnsi="Bookman Old Style"/>
        </w:rPr>
      </w:pPr>
      <w:r>
        <w:rPr>
          <w:rFonts w:ascii="Bookman Old Style" w:hAnsi="Bookman Old Style"/>
        </w:rPr>
        <w:t xml:space="preserve">(4) </w:t>
      </w:r>
      <w:r w:rsidR="004979AC">
        <w:rPr>
          <w:rFonts w:ascii="Bookman Old Style" w:hAnsi="Bookman Old Style"/>
        </w:rPr>
        <w:t>A</w:t>
      </w:r>
      <w:r w:rsidR="00D839A7" w:rsidRPr="003C3292">
        <w:rPr>
          <w:rFonts w:ascii="Bookman Old Style" w:hAnsi="Bookman Old Style"/>
        </w:rPr>
        <w:t xml:space="preserve">ppropriate precautions shall be taken during loading and transport of cargo units and cargo transport units on board ro-ro ships, especially </w:t>
      </w:r>
      <w:proofErr w:type="gramStart"/>
      <w:r w:rsidR="00D839A7" w:rsidRPr="003C3292">
        <w:rPr>
          <w:rFonts w:ascii="Bookman Old Style" w:hAnsi="Bookman Old Style"/>
        </w:rPr>
        <w:t>with regard to</w:t>
      </w:r>
      <w:proofErr w:type="gramEnd"/>
      <w:r w:rsidR="00D839A7" w:rsidRPr="003C3292">
        <w:rPr>
          <w:rFonts w:ascii="Bookman Old Style" w:hAnsi="Bookman Old Style"/>
        </w:rPr>
        <w:t xml:space="preserve"> the securing arrangements on board such ships and on the cargo units and cargo transport units and </w:t>
      </w:r>
      <w:proofErr w:type="gramStart"/>
      <w:r w:rsidR="00D839A7" w:rsidRPr="003C3292">
        <w:rPr>
          <w:rFonts w:ascii="Bookman Old Style" w:hAnsi="Bookman Old Style"/>
        </w:rPr>
        <w:t>with regard to</w:t>
      </w:r>
      <w:proofErr w:type="gramEnd"/>
      <w:r w:rsidR="00D839A7" w:rsidRPr="003C3292">
        <w:rPr>
          <w:rFonts w:ascii="Bookman Old Style" w:hAnsi="Bookman Old Style"/>
        </w:rPr>
        <w:t xml:space="preserve"> the strength of the securing points and lashings</w:t>
      </w:r>
    </w:p>
    <w:p w14:paraId="4FD9C2E3" w14:textId="16DBB3AB" w:rsidR="00D839A7" w:rsidRPr="003C3292" w:rsidRDefault="000830A1" w:rsidP="000830A1">
      <w:pPr>
        <w:snapToGrid w:val="0"/>
        <w:spacing w:before="120" w:after="120"/>
        <w:jc w:val="both"/>
        <w:rPr>
          <w:rFonts w:ascii="Bookman Old Style" w:hAnsi="Bookman Old Style"/>
        </w:rPr>
      </w:pPr>
      <w:r>
        <w:rPr>
          <w:rFonts w:ascii="Bookman Old Style" w:hAnsi="Bookman Old Style"/>
        </w:rPr>
        <w:t xml:space="preserve">(5) </w:t>
      </w:r>
      <w:r w:rsidR="004979AC">
        <w:rPr>
          <w:rFonts w:ascii="Bookman Old Style" w:hAnsi="Bookman Old Style"/>
        </w:rPr>
        <w:t>F</w:t>
      </w:r>
      <w:r w:rsidR="00D839A7" w:rsidRPr="003C3292">
        <w:rPr>
          <w:rFonts w:ascii="Bookman Old Style" w:hAnsi="Bookman Old Style"/>
        </w:rPr>
        <w:t xml:space="preserve">reight containers shall not </w:t>
      </w:r>
      <w:proofErr w:type="gramStart"/>
      <w:r w:rsidR="00D839A7" w:rsidRPr="003C3292">
        <w:rPr>
          <w:rFonts w:ascii="Bookman Old Style" w:hAnsi="Bookman Old Style"/>
        </w:rPr>
        <w:t>loaded</w:t>
      </w:r>
      <w:proofErr w:type="gramEnd"/>
      <w:r w:rsidR="00D839A7" w:rsidRPr="003C3292">
        <w:rPr>
          <w:rFonts w:ascii="Bookman Old Style" w:hAnsi="Bookman Old Style"/>
        </w:rPr>
        <w:t xml:space="preserve"> to more than the maximum gross weight indicated on the Safety Approval Plate fixed thereon under the CSC as amended</w:t>
      </w:r>
    </w:p>
    <w:p w14:paraId="26E5B814" w14:textId="58713DCE" w:rsidR="001D358A" w:rsidRDefault="000830A1" w:rsidP="001D358A">
      <w:pPr>
        <w:snapToGrid w:val="0"/>
        <w:spacing w:before="120" w:after="120"/>
        <w:jc w:val="both"/>
        <w:rPr>
          <w:rFonts w:ascii="Bookman Old Style" w:hAnsi="Bookman Old Style"/>
        </w:rPr>
      </w:pPr>
      <w:r>
        <w:rPr>
          <w:rFonts w:ascii="Bookman Old Style" w:hAnsi="Bookman Old Style"/>
        </w:rPr>
        <w:t xml:space="preserve">(6) </w:t>
      </w:r>
      <w:r w:rsidR="004979AC">
        <w:rPr>
          <w:rFonts w:ascii="Bookman Old Style" w:hAnsi="Bookman Old Style"/>
        </w:rPr>
        <w:t>A</w:t>
      </w:r>
      <w:r w:rsidR="00D839A7" w:rsidRPr="003C3292">
        <w:rPr>
          <w:rFonts w:ascii="Bookman Old Style" w:hAnsi="Bookman Old Style"/>
        </w:rPr>
        <w:t>ll cargoes, other than solid and liquid bulk cargoes, cargo units and cargo transport units, shall be loaded, stowed and secured on board ship throughout the voyage in accordance with the approved Cargo Securing Manual</w:t>
      </w:r>
      <w:r w:rsidR="001A1F15">
        <w:rPr>
          <w:rFonts w:ascii="Bookman Old Style" w:hAnsi="Bookman Old Style"/>
        </w:rPr>
        <w:t>. I</w:t>
      </w:r>
      <w:r w:rsidR="00D839A7" w:rsidRPr="003C3292">
        <w:rPr>
          <w:rFonts w:ascii="Bookman Old Style" w:hAnsi="Bookman Old Style"/>
        </w:rPr>
        <w:t xml:space="preserve">n ships with ro-ro spaces as defined in </w:t>
      </w:r>
      <w:r w:rsidR="001D358A">
        <w:rPr>
          <w:rFonts w:ascii="Bookman Old Style" w:hAnsi="Bookman Old Style"/>
        </w:rPr>
        <w:t>SOLAS R</w:t>
      </w:r>
      <w:r w:rsidR="00D839A7" w:rsidRPr="003C3292">
        <w:rPr>
          <w:rFonts w:ascii="Bookman Old Style" w:hAnsi="Bookman Old Style"/>
        </w:rPr>
        <w:t xml:space="preserve">egulation II-2/3.41, all securing of such cargoes, cargo units and cargo transport units </w:t>
      </w:r>
      <w:r w:rsidR="001A1F15">
        <w:rPr>
          <w:rFonts w:ascii="Bookman Old Style" w:hAnsi="Bookman Old Style"/>
        </w:rPr>
        <w:t xml:space="preserve">in accordance with the approved </w:t>
      </w:r>
      <w:r w:rsidR="00D839A7" w:rsidRPr="003C3292">
        <w:rPr>
          <w:rFonts w:ascii="Bookman Old Style" w:hAnsi="Bookman Old Style"/>
        </w:rPr>
        <w:t>Cargo Securing Manual shall be completed before the ship leaves the berth.</w:t>
      </w:r>
    </w:p>
    <w:p w14:paraId="690E634C" w14:textId="0B5CFD54" w:rsidR="00D839A7" w:rsidRPr="00D839A7" w:rsidRDefault="001D358A" w:rsidP="001D358A">
      <w:pPr>
        <w:snapToGrid w:val="0"/>
        <w:spacing w:before="120" w:after="120"/>
        <w:jc w:val="both"/>
        <w:rPr>
          <w:rFonts w:ascii="Bookman Old Style" w:hAnsi="Bookman Old Style"/>
        </w:rPr>
      </w:pPr>
      <w:r>
        <w:rPr>
          <w:rFonts w:ascii="Bookman Old Style" w:hAnsi="Bookman Old Style"/>
        </w:rPr>
        <w:t xml:space="preserve">(8) </w:t>
      </w:r>
      <w:r w:rsidR="00D839A7" w:rsidRPr="003C3292">
        <w:rPr>
          <w:rFonts w:ascii="Bookman Old Style" w:hAnsi="Bookman Old Style"/>
        </w:rPr>
        <w:t xml:space="preserve">Cargo Securing Manual specified in </w:t>
      </w:r>
      <w:r w:rsidR="001C2C63">
        <w:rPr>
          <w:rFonts w:ascii="Bookman Old Style" w:hAnsi="Bookman Old Style"/>
        </w:rPr>
        <w:t xml:space="preserve">this Rule, </w:t>
      </w:r>
      <w:r w:rsidR="00D839A7" w:rsidRPr="003C3292">
        <w:rPr>
          <w:rFonts w:ascii="Bookman Old Style" w:hAnsi="Bookman Old Style"/>
        </w:rPr>
        <w:t xml:space="preserve">shall be drawn up to a standard not less than relevant </w:t>
      </w:r>
      <w:r w:rsidR="001C2C63">
        <w:rPr>
          <w:rFonts w:ascii="Bookman Old Style" w:hAnsi="Bookman Old Style"/>
        </w:rPr>
        <w:t>r</w:t>
      </w:r>
      <w:r w:rsidR="00D839A7" w:rsidRPr="003C3292">
        <w:rPr>
          <w:rFonts w:ascii="Bookman Old Style" w:hAnsi="Bookman Old Style"/>
        </w:rPr>
        <w:t>ecommendation of the Organization</w:t>
      </w:r>
      <w:r w:rsidR="001A1F15">
        <w:rPr>
          <w:rStyle w:val="FootnoteReference"/>
          <w:rFonts w:ascii="Bookman Old Style" w:hAnsi="Bookman Old Style"/>
        </w:rPr>
        <w:footnoteReference w:id="11"/>
      </w:r>
      <w:r w:rsidR="00D839A7" w:rsidRPr="003C3292">
        <w:rPr>
          <w:rFonts w:ascii="Bookman Old Style" w:hAnsi="Bookman Old Style"/>
        </w:rPr>
        <w:t>.</w:t>
      </w:r>
    </w:p>
    <w:p w14:paraId="010EFCA1" w14:textId="77777777" w:rsidR="005518E6" w:rsidRDefault="005518E6" w:rsidP="007D6E38">
      <w:pPr>
        <w:snapToGrid w:val="0"/>
        <w:spacing w:before="120" w:after="120"/>
        <w:jc w:val="both"/>
        <w:rPr>
          <w:rFonts w:ascii="Bookman Old Style" w:hAnsi="Bookman Old Style"/>
        </w:rPr>
      </w:pPr>
    </w:p>
    <w:p w14:paraId="1D2FCC90" w14:textId="35FE77EE" w:rsidR="00740E3F" w:rsidRPr="00BB3ACD" w:rsidRDefault="00337213" w:rsidP="007D6E38">
      <w:pPr>
        <w:pStyle w:val="ListParagraph"/>
        <w:numPr>
          <w:ilvl w:val="0"/>
          <w:numId w:val="51"/>
        </w:numPr>
        <w:snapToGrid w:val="0"/>
        <w:spacing w:before="120" w:after="120"/>
        <w:ind w:left="0" w:firstLine="0"/>
        <w:jc w:val="both"/>
        <w:rPr>
          <w:rFonts w:ascii="Bookman Old Style" w:hAnsi="Bookman Old Style"/>
          <w:b/>
          <w:bCs/>
        </w:rPr>
      </w:pPr>
      <w:r w:rsidRPr="00337213">
        <w:rPr>
          <w:rFonts w:ascii="Bookman Old Style" w:hAnsi="Bookman Old Style"/>
          <w:b/>
          <w:bCs/>
        </w:rPr>
        <w:t>Material Safety Data Sheets:</w:t>
      </w:r>
      <w:r w:rsidR="00B5596B">
        <w:rPr>
          <w:rFonts w:ascii="Bookman Old Style" w:hAnsi="Bookman Old Style"/>
          <w:b/>
          <w:bCs/>
        </w:rPr>
        <w:t xml:space="preserve"> </w:t>
      </w:r>
      <w:r w:rsidRPr="00B5596B">
        <w:rPr>
          <w:rFonts w:ascii="Bookman Old Style" w:hAnsi="Bookman Old Style"/>
          <w:color w:val="000000" w:themeColor="text1"/>
        </w:rPr>
        <w:t xml:space="preserve">Ships carrying oil or oil fuel, as defined in regulation 1 of Annex I of MARPOL, shall be provided with </w:t>
      </w:r>
      <w:r w:rsidRPr="00B5596B">
        <w:rPr>
          <w:rFonts w:ascii="Bookman Old Style" w:hAnsi="Bookman Old Style"/>
          <w:color w:val="000000" w:themeColor="text1"/>
        </w:rPr>
        <w:lastRenderedPageBreak/>
        <w:t xml:space="preserve">Material Safety Data Sheets (MSDS), based on the relevant recommendations </w:t>
      </w:r>
      <w:r w:rsidR="00252D0D" w:rsidRPr="00B5596B">
        <w:rPr>
          <w:rFonts w:ascii="Bookman Old Style" w:hAnsi="Bookman Old Style"/>
          <w:color w:val="000000" w:themeColor="text1"/>
        </w:rPr>
        <w:t xml:space="preserve">developed by </w:t>
      </w:r>
      <w:r w:rsidRPr="00B5596B">
        <w:rPr>
          <w:rFonts w:ascii="Bookman Old Style" w:hAnsi="Bookman Old Style"/>
          <w:color w:val="000000" w:themeColor="text1"/>
        </w:rPr>
        <w:t>the Organization</w:t>
      </w:r>
      <w:r w:rsidR="001A1F15">
        <w:rPr>
          <w:rStyle w:val="FootnoteReference"/>
          <w:rFonts w:ascii="Bookman Old Style" w:hAnsi="Bookman Old Style"/>
          <w:color w:val="000000" w:themeColor="text1"/>
        </w:rPr>
        <w:footnoteReference w:id="12"/>
      </w:r>
      <w:r w:rsidRPr="00B5596B">
        <w:rPr>
          <w:rFonts w:ascii="Bookman Old Style" w:hAnsi="Bookman Old Style"/>
          <w:color w:val="000000" w:themeColor="text1"/>
        </w:rPr>
        <w:t>, prior to loading such oil as cargo in bulk or bunkering of oil fuel.</w:t>
      </w:r>
    </w:p>
    <w:p w14:paraId="04ACFC6D" w14:textId="77777777" w:rsidR="00B5596B" w:rsidRDefault="00B5596B" w:rsidP="007D6E38">
      <w:pPr>
        <w:snapToGrid w:val="0"/>
        <w:spacing w:before="120" w:after="120"/>
        <w:jc w:val="both"/>
        <w:rPr>
          <w:rFonts w:ascii="Bookman Old Style" w:hAnsi="Bookman Old Style"/>
        </w:rPr>
      </w:pPr>
    </w:p>
    <w:p w14:paraId="1BA1793E" w14:textId="0A626DC9" w:rsidR="00B5596B" w:rsidRPr="00BB3ACD" w:rsidRDefault="00B5596B" w:rsidP="00B5596B">
      <w:pPr>
        <w:pStyle w:val="ListParagraph"/>
        <w:numPr>
          <w:ilvl w:val="0"/>
          <w:numId w:val="51"/>
        </w:numPr>
        <w:snapToGrid w:val="0"/>
        <w:spacing w:before="120" w:after="120"/>
        <w:ind w:left="0" w:firstLine="0"/>
        <w:jc w:val="both"/>
        <w:rPr>
          <w:rFonts w:ascii="Bookman Old Style" w:hAnsi="Bookman Old Style"/>
          <w:b/>
          <w:bCs/>
        </w:rPr>
      </w:pPr>
      <w:r w:rsidRPr="00B5596B">
        <w:rPr>
          <w:rFonts w:ascii="Bookman Old Style" w:hAnsi="Bookman Old Style"/>
          <w:b/>
          <w:bCs/>
        </w:rPr>
        <w:t>Prohibition of the blending of bulk liquid cargoes and production processes during sea voyages</w:t>
      </w:r>
      <w:r>
        <w:rPr>
          <w:rFonts w:ascii="Bookman Old Style" w:hAnsi="Bookman Old Style"/>
          <w:b/>
          <w:bCs/>
        </w:rPr>
        <w:t>:</w:t>
      </w:r>
    </w:p>
    <w:p w14:paraId="4FDB751C" w14:textId="64D3FABE" w:rsidR="00D839A7" w:rsidRDefault="00D839A7" w:rsidP="00D839A7">
      <w:pPr>
        <w:snapToGrid w:val="0"/>
        <w:spacing w:before="120" w:after="120"/>
        <w:jc w:val="both"/>
        <w:rPr>
          <w:rFonts w:ascii="Bookman Old Style" w:hAnsi="Bookman Old Style"/>
        </w:rPr>
      </w:pPr>
      <w:r>
        <w:rPr>
          <w:rFonts w:ascii="Bookman Old Style" w:hAnsi="Bookman Old Style"/>
        </w:rPr>
        <w:t xml:space="preserve">(1) </w:t>
      </w:r>
      <w:r w:rsidR="001A1F15">
        <w:rPr>
          <w:rFonts w:ascii="Bookman Old Style" w:hAnsi="Bookman Old Style"/>
        </w:rPr>
        <w:t>T</w:t>
      </w:r>
      <w:r w:rsidRPr="00D839A7">
        <w:rPr>
          <w:rFonts w:ascii="Bookman Old Style" w:hAnsi="Bookman Old Style"/>
        </w:rPr>
        <w:t>he physical blending of bulk liquid cargoes during sea voyages is prohibited. Physical blending refers</w:t>
      </w:r>
      <w:r>
        <w:rPr>
          <w:rFonts w:ascii="Bookman Old Style" w:hAnsi="Bookman Old Style"/>
        </w:rPr>
        <w:t xml:space="preserve"> </w:t>
      </w:r>
      <w:r w:rsidRPr="00D839A7">
        <w:rPr>
          <w:rFonts w:ascii="Bookman Old Style" w:hAnsi="Bookman Old Style"/>
        </w:rPr>
        <w:t>to the process whereby the ship's cargo pumps and pipelines are used to internally circulate two or more</w:t>
      </w:r>
      <w:r>
        <w:rPr>
          <w:rFonts w:ascii="Bookman Old Style" w:hAnsi="Bookman Old Style"/>
        </w:rPr>
        <w:t xml:space="preserve"> </w:t>
      </w:r>
      <w:r w:rsidRPr="00D839A7">
        <w:rPr>
          <w:rFonts w:ascii="Bookman Old Style" w:hAnsi="Bookman Old Style"/>
        </w:rPr>
        <w:t>different cargoes with the intent to achieve a cargo with a new product designation. This prohibition does</w:t>
      </w:r>
      <w:r>
        <w:rPr>
          <w:rFonts w:ascii="Bookman Old Style" w:hAnsi="Bookman Old Style"/>
        </w:rPr>
        <w:t xml:space="preserve"> </w:t>
      </w:r>
      <w:r w:rsidRPr="00D839A7">
        <w:rPr>
          <w:rFonts w:ascii="Bookman Old Style" w:hAnsi="Bookman Old Style"/>
        </w:rPr>
        <w:t>not preclude the master from undertaking cargo transfers for the safety of the ship or protection of the marine</w:t>
      </w:r>
      <w:r>
        <w:rPr>
          <w:rFonts w:ascii="Bookman Old Style" w:hAnsi="Bookman Old Style"/>
        </w:rPr>
        <w:t xml:space="preserve"> </w:t>
      </w:r>
      <w:r w:rsidRPr="00D839A7">
        <w:rPr>
          <w:rFonts w:ascii="Bookman Old Style" w:hAnsi="Bookman Old Style"/>
        </w:rPr>
        <w:t>environment.</w:t>
      </w:r>
    </w:p>
    <w:p w14:paraId="684AB119" w14:textId="7C7940FD" w:rsidR="00B5596B" w:rsidRPr="003C3292" w:rsidRDefault="00D839A7" w:rsidP="00D839A7">
      <w:pPr>
        <w:snapToGrid w:val="0"/>
        <w:spacing w:before="120" w:after="120"/>
        <w:jc w:val="both"/>
        <w:rPr>
          <w:rFonts w:ascii="Bookman Old Style" w:hAnsi="Bookman Old Style"/>
        </w:rPr>
      </w:pPr>
      <w:r>
        <w:rPr>
          <w:rFonts w:ascii="Bookman Old Style" w:hAnsi="Bookman Old Style"/>
        </w:rPr>
        <w:t>(2) t</w:t>
      </w:r>
      <w:r w:rsidR="00B5596B" w:rsidRPr="003C3292">
        <w:rPr>
          <w:rFonts w:ascii="Bookman Old Style" w:hAnsi="Bookman Old Style"/>
        </w:rPr>
        <w:t xml:space="preserve">he prohibition specified in </w:t>
      </w:r>
      <w:r w:rsidR="001A1F15" w:rsidRPr="0074707A">
        <w:rPr>
          <w:rFonts w:ascii="Bookman Old Style" w:hAnsi="Bookman Old Style"/>
        </w:rPr>
        <w:t xml:space="preserve">the Rule </w:t>
      </w:r>
      <w:r w:rsidR="00B5596B" w:rsidRPr="0074707A">
        <w:rPr>
          <w:rFonts w:ascii="Bookman Old Style" w:hAnsi="Bookman Old Style"/>
        </w:rPr>
        <w:t>11(</w:t>
      </w:r>
      <w:r w:rsidRPr="0074707A">
        <w:rPr>
          <w:rFonts w:ascii="Bookman Old Style" w:hAnsi="Bookman Old Style"/>
        </w:rPr>
        <w:t>1</w:t>
      </w:r>
      <w:r w:rsidR="00B5596B" w:rsidRPr="0074707A">
        <w:rPr>
          <w:rFonts w:ascii="Bookman Old Style" w:hAnsi="Bookman Old Style"/>
        </w:rPr>
        <w:t>) above, does</w:t>
      </w:r>
      <w:r w:rsidR="00B5596B" w:rsidRPr="003C3292">
        <w:rPr>
          <w:rFonts w:ascii="Bookman Old Style" w:hAnsi="Bookman Old Style"/>
        </w:rPr>
        <w:t xml:space="preserve"> not apply to the blending of products for use in the search and exploitation of seabed mineral resources on board ships used to facilitate such operations.</w:t>
      </w:r>
    </w:p>
    <w:p w14:paraId="1478EA6B" w14:textId="3A69C756" w:rsidR="00B5596B" w:rsidRPr="003C3292" w:rsidRDefault="00D839A7" w:rsidP="00D839A7">
      <w:pPr>
        <w:snapToGrid w:val="0"/>
        <w:spacing w:before="120" w:after="120"/>
        <w:jc w:val="both"/>
        <w:rPr>
          <w:rFonts w:ascii="Bookman Old Style" w:hAnsi="Bookman Old Style"/>
        </w:rPr>
      </w:pPr>
      <w:r>
        <w:rPr>
          <w:rFonts w:ascii="Bookman Old Style" w:hAnsi="Bookman Old Style"/>
        </w:rPr>
        <w:t>(3) a</w:t>
      </w:r>
      <w:r w:rsidR="00B5596B" w:rsidRPr="003C3292">
        <w:rPr>
          <w:rFonts w:ascii="Bookman Old Style" w:hAnsi="Bookman Old Style"/>
        </w:rPr>
        <w:t>ny production process on board a ship during sea voyages is prohibited. Production processes refer to any deliberate operation whereby a chemical reaction between a ship's cargo and any other substance or cargo takes place.</w:t>
      </w:r>
    </w:p>
    <w:p w14:paraId="28517CC7" w14:textId="2049B01C" w:rsidR="00B5596B" w:rsidRDefault="00D839A7" w:rsidP="007D6E38">
      <w:pPr>
        <w:snapToGrid w:val="0"/>
        <w:spacing w:before="120" w:after="120"/>
        <w:jc w:val="both"/>
        <w:rPr>
          <w:rFonts w:ascii="Bookman Old Style" w:hAnsi="Bookman Old Style"/>
        </w:rPr>
      </w:pPr>
      <w:r>
        <w:rPr>
          <w:rFonts w:ascii="Bookman Old Style" w:hAnsi="Bookman Old Style"/>
        </w:rPr>
        <w:t xml:space="preserve">(4) </w:t>
      </w:r>
      <w:r w:rsidR="00B5596B" w:rsidRPr="003C3292">
        <w:rPr>
          <w:rFonts w:ascii="Bookman Old Style" w:hAnsi="Bookman Old Style"/>
        </w:rPr>
        <w:t>The prohibition specified in sub-rule 11(</w:t>
      </w:r>
      <w:r>
        <w:rPr>
          <w:rFonts w:ascii="Bookman Old Style" w:hAnsi="Bookman Old Style"/>
        </w:rPr>
        <w:t>3</w:t>
      </w:r>
      <w:r w:rsidR="00B5596B" w:rsidRPr="003C3292">
        <w:rPr>
          <w:rFonts w:ascii="Bookman Old Style" w:hAnsi="Bookman Old Style"/>
        </w:rPr>
        <w:t>) above, does not apply to the production processes of the cargoes for use in the search and exploitation of seabed mineral resources on board ships used to facilitate such operations</w:t>
      </w:r>
      <w:r w:rsidR="001A1F15">
        <w:rPr>
          <w:rStyle w:val="FootnoteReference"/>
          <w:rFonts w:ascii="Bookman Old Style" w:hAnsi="Bookman Old Style"/>
        </w:rPr>
        <w:footnoteReference w:id="13"/>
      </w:r>
      <w:r w:rsidR="00B5596B" w:rsidRPr="003C3292">
        <w:rPr>
          <w:rFonts w:ascii="Bookman Old Style" w:hAnsi="Bookman Old Style"/>
        </w:rPr>
        <w:t>.</w:t>
      </w:r>
    </w:p>
    <w:p w14:paraId="6A5B99A6" w14:textId="77777777" w:rsidR="001C2C63" w:rsidRDefault="001C2C63" w:rsidP="007D6E38">
      <w:pPr>
        <w:snapToGrid w:val="0"/>
        <w:spacing w:before="120" w:after="120"/>
        <w:jc w:val="both"/>
        <w:rPr>
          <w:rFonts w:ascii="Bookman Old Style" w:hAnsi="Bookman Old Style"/>
        </w:rPr>
      </w:pPr>
    </w:p>
    <w:p w14:paraId="42DEA744" w14:textId="6A80FED4" w:rsidR="000B42D1" w:rsidRDefault="001C2C63" w:rsidP="007D6E38">
      <w:pPr>
        <w:snapToGrid w:val="0"/>
        <w:spacing w:before="120" w:after="120"/>
        <w:jc w:val="both"/>
        <w:rPr>
          <w:rFonts w:ascii="Bookman Old Style" w:hAnsi="Bookman Old Style"/>
          <w:b/>
        </w:rPr>
      </w:pPr>
      <w:r>
        <w:rPr>
          <w:rFonts w:ascii="Bookman Old Style" w:hAnsi="Bookman Old Style"/>
          <w:b/>
        </w:rPr>
        <w:t xml:space="preserve">Part II: Special Provisions for Solid Bulk Cargoes </w:t>
      </w:r>
      <w:r w:rsidR="001A1F15">
        <w:rPr>
          <w:rFonts w:ascii="Bookman Old Style" w:hAnsi="Bookman Old Style"/>
          <w:b/>
        </w:rPr>
        <w:t>(</w:t>
      </w:r>
      <w:r>
        <w:rPr>
          <w:rFonts w:ascii="Bookman Old Style" w:hAnsi="Bookman Old Style"/>
          <w:b/>
        </w:rPr>
        <w:t xml:space="preserve">other than </w:t>
      </w:r>
      <w:r w:rsidR="001A1F15">
        <w:rPr>
          <w:rFonts w:ascii="Bookman Old Style" w:hAnsi="Bookman Old Style"/>
          <w:b/>
        </w:rPr>
        <w:t>g</w:t>
      </w:r>
      <w:r>
        <w:rPr>
          <w:rFonts w:ascii="Bookman Old Style" w:hAnsi="Bookman Old Style"/>
          <w:b/>
        </w:rPr>
        <w:t>rain</w:t>
      </w:r>
      <w:r w:rsidR="001A1F15">
        <w:rPr>
          <w:rFonts w:ascii="Bookman Old Style" w:hAnsi="Bookman Old Style"/>
          <w:b/>
        </w:rPr>
        <w:t>)</w:t>
      </w:r>
      <w:r>
        <w:rPr>
          <w:rFonts w:ascii="Bookman Old Style" w:hAnsi="Bookman Old Style"/>
          <w:b/>
        </w:rPr>
        <w:t>:</w:t>
      </w:r>
    </w:p>
    <w:p w14:paraId="1C9E0602" w14:textId="77777777" w:rsidR="00FD4DF7" w:rsidRDefault="00FD4DF7" w:rsidP="007D6E38">
      <w:pPr>
        <w:snapToGrid w:val="0"/>
        <w:spacing w:before="120" w:after="120"/>
        <w:jc w:val="both"/>
        <w:rPr>
          <w:rFonts w:ascii="Bookman Old Style" w:hAnsi="Bookman Old Style"/>
        </w:rPr>
      </w:pPr>
    </w:p>
    <w:p w14:paraId="1D1B5AA4" w14:textId="77777777" w:rsidR="001C2C63" w:rsidRPr="001C2C63" w:rsidRDefault="001C2C63" w:rsidP="001C2C63">
      <w:pPr>
        <w:pStyle w:val="ListParagraph"/>
        <w:numPr>
          <w:ilvl w:val="0"/>
          <w:numId w:val="51"/>
        </w:numPr>
        <w:snapToGrid w:val="0"/>
        <w:spacing w:before="120" w:after="120"/>
        <w:ind w:left="0" w:firstLine="0"/>
        <w:jc w:val="both"/>
        <w:rPr>
          <w:rFonts w:ascii="Bookman Old Style" w:hAnsi="Bookman Old Style"/>
          <w:b/>
        </w:rPr>
      </w:pPr>
      <w:r w:rsidRPr="001C2C63">
        <w:rPr>
          <w:rFonts w:ascii="Bookman Old Style" w:hAnsi="Bookman Old Style"/>
          <w:b/>
        </w:rPr>
        <w:t>Acceptability for Shipment:</w:t>
      </w:r>
    </w:p>
    <w:p w14:paraId="65EA97F0" w14:textId="77777777" w:rsidR="001D2DDE" w:rsidRDefault="001C2C63" w:rsidP="00FD4DF7">
      <w:pPr>
        <w:snapToGrid w:val="0"/>
        <w:spacing w:before="120" w:after="120"/>
        <w:jc w:val="both"/>
        <w:rPr>
          <w:rFonts w:ascii="Bookman Old Style" w:hAnsi="Bookman Old Style"/>
        </w:rPr>
      </w:pPr>
      <w:r>
        <w:rPr>
          <w:rFonts w:ascii="Bookman Old Style" w:hAnsi="Bookman Old Style"/>
        </w:rPr>
        <w:t xml:space="preserve">(1) </w:t>
      </w:r>
      <w:r w:rsidRPr="003C3292">
        <w:rPr>
          <w:rFonts w:ascii="Bookman Old Style" w:hAnsi="Bookman Old Style"/>
        </w:rPr>
        <w:t xml:space="preserve">Prior to loading a solid bulk cargo, the master shall be in possession of approved comprehensive information on the ships stability and the distribution of cargo for the standard loading conditions.  </w:t>
      </w:r>
    </w:p>
    <w:p w14:paraId="5BDA8431" w14:textId="2C9AFB04" w:rsidR="00E23CD8" w:rsidRPr="00E23CD8" w:rsidRDefault="001D2DDE" w:rsidP="00FD4DF7">
      <w:pPr>
        <w:snapToGrid w:val="0"/>
        <w:spacing w:before="120" w:after="120"/>
        <w:jc w:val="both"/>
        <w:rPr>
          <w:rFonts w:ascii="Bookman Old Style" w:hAnsi="Bookman Old Style"/>
          <w:color w:val="215E99" w:themeColor="text2" w:themeTint="BF"/>
        </w:rPr>
      </w:pPr>
      <w:r w:rsidRPr="00E23CD8">
        <w:rPr>
          <w:rFonts w:ascii="Bookman Old Style" w:hAnsi="Bookman Old Style"/>
          <w:color w:val="215E99" w:themeColor="text2" w:themeTint="BF"/>
        </w:rPr>
        <w:t xml:space="preserve">(2) </w:t>
      </w:r>
      <w:r w:rsidR="001C2C63" w:rsidRPr="00E23CD8">
        <w:rPr>
          <w:rFonts w:ascii="Bookman Old Style" w:hAnsi="Bookman Old Style"/>
          <w:color w:val="215E99" w:themeColor="text2" w:themeTint="BF"/>
        </w:rPr>
        <w:t>The method of providing such information shall</w:t>
      </w:r>
      <w:r w:rsidR="00E23CD8" w:rsidRPr="00E23CD8">
        <w:rPr>
          <w:rFonts w:ascii="Bookman Old Style" w:hAnsi="Bookman Old Style"/>
          <w:color w:val="215E99" w:themeColor="text2" w:themeTint="BF"/>
        </w:rPr>
        <w:t>:</w:t>
      </w:r>
    </w:p>
    <w:p w14:paraId="12D9858B" w14:textId="126906E1" w:rsidR="001D2DDE" w:rsidRPr="00E23CD8" w:rsidRDefault="00E23CD8" w:rsidP="00FD4DF7">
      <w:pPr>
        <w:snapToGrid w:val="0"/>
        <w:spacing w:before="120" w:after="120"/>
        <w:jc w:val="both"/>
        <w:rPr>
          <w:rFonts w:ascii="Bookman Old Style" w:hAnsi="Bookman Old Style"/>
          <w:color w:val="215E99" w:themeColor="text2" w:themeTint="BF"/>
        </w:rPr>
      </w:pPr>
      <w:r w:rsidRPr="00E23CD8">
        <w:rPr>
          <w:rFonts w:ascii="Bookman Old Style" w:hAnsi="Bookman Old Style"/>
          <w:color w:val="215E99" w:themeColor="text2" w:themeTint="BF"/>
        </w:rPr>
        <w:t xml:space="preserve">(a) </w:t>
      </w:r>
      <w:r w:rsidR="001C2C63" w:rsidRPr="00E23CD8">
        <w:rPr>
          <w:rFonts w:ascii="Bookman Old Style" w:hAnsi="Bookman Old Style"/>
          <w:color w:val="215E99" w:themeColor="text2" w:themeTint="BF"/>
        </w:rPr>
        <w:t xml:space="preserve">conform to the requirements prescribed by the applicable </w:t>
      </w:r>
      <w:r w:rsidR="001D2DDE" w:rsidRPr="00E23CD8">
        <w:rPr>
          <w:rFonts w:ascii="Bookman Old Style" w:hAnsi="Bookman Old Style"/>
          <w:color w:val="215E99" w:themeColor="text2" w:themeTint="BF"/>
        </w:rPr>
        <w:t>‘</w:t>
      </w:r>
      <w:r w:rsidR="001C2C63" w:rsidRPr="00E23CD8">
        <w:rPr>
          <w:rFonts w:ascii="Bookman Old Style" w:hAnsi="Bookman Old Style"/>
          <w:color w:val="215E99" w:themeColor="text2" w:themeTint="BF"/>
        </w:rPr>
        <w:t>notice</w:t>
      </w:r>
      <w:r w:rsidR="001D2DDE" w:rsidRPr="00E23CD8">
        <w:rPr>
          <w:rFonts w:ascii="Bookman Old Style" w:hAnsi="Bookman Old Style"/>
          <w:color w:val="215E99" w:themeColor="text2" w:themeTint="BF"/>
        </w:rPr>
        <w:t>’ issued by the competent authority</w:t>
      </w:r>
      <w:r>
        <w:rPr>
          <w:rFonts w:ascii="Bookman Old Style" w:hAnsi="Bookman Old Style"/>
          <w:color w:val="215E99" w:themeColor="text2" w:themeTint="BF"/>
        </w:rPr>
        <w:t>; and</w:t>
      </w:r>
    </w:p>
    <w:p w14:paraId="78BEA860" w14:textId="58331395" w:rsidR="00E23CD8" w:rsidRPr="00E23CD8" w:rsidRDefault="00E23CD8" w:rsidP="00E23CD8">
      <w:pPr>
        <w:snapToGrid w:val="0"/>
        <w:spacing w:before="120" w:after="120"/>
        <w:jc w:val="both"/>
        <w:rPr>
          <w:rFonts w:ascii="Bookman Old Style" w:hAnsi="Bookman Old Style"/>
          <w:color w:val="215E99" w:themeColor="text2" w:themeTint="BF"/>
        </w:rPr>
      </w:pPr>
      <w:r w:rsidRPr="00E23CD8">
        <w:rPr>
          <w:rFonts w:ascii="Bookman Old Style" w:hAnsi="Bookman Old Style"/>
          <w:color w:val="215E99" w:themeColor="text2" w:themeTint="BF"/>
        </w:rPr>
        <w:t xml:space="preserve">(b) conform to SOLAS Regulation II-1/5-1; and Guidelines for the preparation of intact stability information (MSC/Circ.456); and the </w:t>
      </w:r>
      <w:r w:rsidRPr="00E23CD8">
        <w:rPr>
          <w:rFonts w:ascii="Bookman Old Style" w:hAnsi="Bookman Old Style"/>
          <w:color w:val="215E99" w:themeColor="text2" w:themeTint="BF"/>
        </w:rPr>
        <w:lastRenderedPageBreak/>
        <w:t>Revised guidance to the master for avoiding dangerous situations in adverse weather and sea conditions (MSC.1/Circ.1228)</w:t>
      </w:r>
      <w:r>
        <w:rPr>
          <w:rFonts w:ascii="Bookman Old Style" w:hAnsi="Bookman Old Style"/>
          <w:color w:val="215E99" w:themeColor="text2" w:themeTint="BF"/>
        </w:rPr>
        <w:t>; and</w:t>
      </w:r>
    </w:p>
    <w:p w14:paraId="320C7FE3" w14:textId="6393163A" w:rsidR="001C2C63" w:rsidRPr="00E23CD8" w:rsidRDefault="00E23CD8" w:rsidP="00FD4DF7">
      <w:pPr>
        <w:snapToGrid w:val="0"/>
        <w:spacing w:before="120" w:after="120"/>
        <w:jc w:val="both"/>
        <w:rPr>
          <w:rFonts w:ascii="Bookman Old Style" w:hAnsi="Bookman Old Style"/>
          <w:color w:val="215E99" w:themeColor="text2" w:themeTint="BF"/>
        </w:rPr>
      </w:pPr>
      <w:r w:rsidRPr="00E23CD8">
        <w:rPr>
          <w:rFonts w:ascii="Bookman Old Style" w:hAnsi="Bookman Old Style"/>
          <w:color w:val="215E99" w:themeColor="text2" w:themeTint="BF"/>
        </w:rPr>
        <w:t>(c) a</w:t>
      </w:r>
      <w:r w:rsidR="001C2C63" w:rsidRPr="00E23CD8">
        <w:rPr>
          <w:rFonts w:ascii="Bookman Old Style" w:hAnsi="Bookman Old Style"/>
          <w:color w:val="215E99" w:themeColor="text2" w:themeTint="BF"/>
        </w:rPr>
        <w:t>pproved loading instrument is accepted as a supplement to stability information provided in hard copy.</w:t>
      </w:r>
    </w:p>
    <w:p w14:paraId="249304FA" w14:textId="5FD980E6" w:rsidR="001C2C63" w:rsidRDefault="001C2C63" w:rsidP="001C2C63">
      <w:pPr>
        <w:snapToGrid w:val="0"/>
        <w:spacing w:before="120" w:after="120"/>
        <w:jc w:val="both"/>
        <w:rPr>
          <w:rFonts w:ascii="Bookman Old Style" w:hAnsi="Bookman Old Style"/>
        </w:rPr>
      </w:pPr>
      <w:r>
        <w:rPr>
          <w:rFonts w:ascii="Bookman Old Style" w:hAnsi="Bookman Old Style"/>
        </w:rPr>
        <w:t>(2) C</w:t>
      </w:r>
      <w:r w:rsidRPr="003C3292">
        <w:rPr>
          <w:rFonts w:ascii="Bookman Old Style" w:hAnsi="Bookman Old Style"/>
        </w:rPr>
        <w:t xml:space="preserve">oncentrates or other cargoes which may liquefy shall only be accepted by the master of the ship for loading when the actual moisture content of the cargo is less than its transportable moisture limit (TML). Notwithstanding this sub-rule, cargoes having moisture content </w:t>
      </w:r>
      <w:proofErr w:type="gramStart"/>
      <w:r w:rsidRPr="003C3292">
        <w:rPr>
          <w:rFonts w:ascii="Bookman Old Style" w:hAnsi="Bookman Old Style"/>
        </w:rPr>
        <w:t>in excess of</w:t>
      </w:r>
      <w:proofErr w:type="gramEnd"/>
      <w:r w:rsidRPr="003C3292">
        <w:rPr>
          <w:rFonts w:ascii="Bookman Old Style" w:hAnsi="Bookman Old Style"/>
        </w:rPr>
        <w:t xml:space="preserve"> the TML may be carried on a specially constructed or fitted cargo ship for confining cargo shift as approved by the central government for Indian ships and </w:t>
      </w:r>
      <w:r>
        <w:rPr>
          <w:rFonts w:ascii="Bookman Old Style" w:hAnsi="Bookman Old Style"/>
        </w:rPr>
        <w:t xml:space="preserve">in case of foreign flag ship it is to be </w:t>
      </w:r>
      <w:r w:rsidRPr="003C3292">
        <w:rPr>
          <w:rFonts w:ascii="Bookman Old Style" w:hAnsi="Bookman Old Style"/>
        </w:rPr>
        <w:t xml:space="preserve">approved by </w:t>
      </w:r>
      <w:r>
        <w:rPr>
          <w:rFonts w:ascii="Bookman Old Style" w:hAnsi="Bookman Old Style"/>
        </w:rPr>
        <w:t xml:space="preserve">the </w:t>
      </w:r>
      <w:r w:rsidRPr="003C3292">
        <w:rPr>
          <w:rFonts w:ascii="Bookman Old Style" w:hAnsi="Bookman Old Style"/>
        </w:rPr>
        <w:t>respective flag administration</w:t>
      </w:r>
      <w:r>
        <w:rPr>
          <w:rFonts w:ascii="Bookman Old Style" w:hAnsi="Bookman Old Style"/>
        </w:rPr>
        <w:t>.</w:t>
      </w:r>
    </w:p>
    <w:p w14:paraId="329F2D8A" w14:textId="67C04978" w:rsidR="00D13309" w:rsidRPr="003C3292" w:rsidRDefault="00D13309" w:rsidP="001C2C63">
      <w:pPr>
        <w:snapToGrid w:val="0"/>
        <w:spacing w:before="120" w:after="120"/>
        <w:jc w:val="both"/>
        <w:rPr>
          <w:rFonts w:ascii="Bookman Old Style" w:hAnsi="Bookman Old Style"/>
        </w:rPr>
      </w:pPr>
      <w:r>
        <w:rPr>
          <w:rFonts w:ascii="Bookman Old Style" w:hAnsi="Bookman Old Style"/>
        </w:rPr>
        <w:t>(3)</w:t>
      </w:r>
      <w:r w:rsidRPr="00D13309">
        <w:t xml:space="preserve"> </w:t>
      </w:r>
      <w:r>
        <w:rPr>
          <w:rFonts w:ascii="Bookman Old Style" w:hAnsi="Bookman Old Style"/>
        </w:rPr>
        <w:t xml:space="preserve">Shipper </w:t>
      </w:r>
      <w:proofErr w:type="gramStart"/>
      <w:r w:rsidRPr="00D13309">
        <w:rPr>
          <w:rFonts w:ascii="Bookman Old Style" w:hAnsi="Bookman Old Style"/>
        </w:rPr>
        <w:t>he</w:t>
      </w:r>
      <w:proofErr w:type="gramEnd"/>
      <w:r w:rsidRPr="00D13309">
        <w:rPr>
          <w:rFonts w:ascii="Bookman Old Style" w:hAnsi="Bookman Old Style"/>
        </w:rPr>
        <w:t xml:space="preserve"> amendments include, amongst others that when a concentrate or other cargo which may liquefy is carried, the shipper shall provide the ship's Master with a signed certificate of the </w:t>
      </w:r>
      <w:proofErr w:type="gramStart"/>
      <w:r w:rsidRPr="00D13309">
        <w:rPr>
          <w:rFonts w:ascii="Bookman Old Style" w:hAnsi="Bookman Old Style"/>
        </w:rPr>
        <w:t>TML</w:t>
      </w:r>
      <w:proofErr w:type="gramEnd"/>
      <w:r w:rsidRPr="00D13309">
        <w:rPr>
          <w:rFonts w:ascii="Bookman Old Style" w:hAnsi="Bookman Old Style"/>
        </w:rPr>
        <w:t xml:space="preserve"> and declaration of the Moisture Content issued by an entity recognized by the Competent Authority.</w:t>
      </w:r>
    </w:p>
    <w:p w14:paraId="2A0F040E" w14:textId="1B28CFFF" w:rsidR="001C2C63" w:rsidRDefault="001C2C63" w:rsidP="001C2C63">
      <w:pPr>
        <w:snapToGrid w:val="0"/>
        <w:spacing w:before="120" w:after="120"/>
        <w:jc w:val="both"/>
        <w:rPr>
          <w:rFonts w:ascii="Bookman Old Style" w:hAnsi="Bookman Old Style"/>
        </w:rPr>
      </w:pPr>
      <w:r>
        <w:rPr>
          <w:rFonts w:ascii="Bookman Old Style" w:hAnsi="Bookman Old Style"/>
        </w:rPr>
        <w:t>(</w:t>
      </w:r>
      <w:r w:rsidR="00D13309">
        <w:rPr>
          <w:rFonts w:ascii="Bookman Old Style" w:hAnsi="Bookman Old Style"/>
        </w:rPr>
        <w:t>4</w:t>
      </w:r>
      <w:r>
        <w:rPr>
          <w:rFonts w:ascii="Bookman Old Style" w:hAnsi="Bookman Old Style"/>
        </w:rPr>
        <w:t xml:space="preserve">) </w:t>
      </w:r>
      <w:r w:rsidRPr="003C3292">
        <w:rPr>
          <w:rFonts w:ascii="Bookman Old Style" w:hAnsi="Bookman Old Style"/>
        </w:rPr>
        <w:t>The master shall take special precautions for safe loading and carriage of bulk cargoes which possess chemical properties that may create a potential hazard and are not covered by the IMDG Code.</w:t>
      </w:r>
    </w:p>
    <w:p w14:paraId="6D039807" w14:textId="53DC6EF3" w:rsidR="00D13309" w:rsidRDefault="00D13309" w:rsidP="001C2C63">
      <w:pPr>
        <w:snapToGrid w:val="0"/>
        <w:spacing w:before="120" w:after="120"/>
        <w:jc w:val="both"/>
        <w:rPr>
          <w:rFonts w:ascii="Bookman Old Style" w:hAnsi="Bookman Old Style"/>
        </w:rPr>
      </w:pPr>
      <w:r w:rsidRPr="00743307">
        <w:rPr>
          <w:rFonts w:ascii="Bookman Old Style" w:hAnsi="Bookman Old Style"/>
          <w:color w:val="215E99" w:themeColor="text2" w:themeTint="BF"/>
        </w:rPr>
        <w:t xml:space="preserve">(5) The information in respect of sold </w:t>
      </w:r>
      <w:r w:rsidR="00743307" w:rsidRPr="00743307">
        <w:rPr>
          <w:rFonts w:ascii="Bookman Old Style" w:hAnsi="Bookman Old Style"/>
          <w:color w:val="215E99" w:themeColor="text2" w:themeTint="BF"/>
        </w:rPr>
        <w:t>bulk cargo as required by Rule 6(3)(b)</w:t>
      </w:r>
      <w:r w:rsidRPr="00743307">
        <w:rPr>
          <w:rFonts w:ascii="Bookman Old Style" w:hAnsi="Bookman Old Style"/>
          <w:color w:val="215E99" w:themeColor="text2" w:themeTint="BF"/>
        </w:rPr>
        <w:t xml:space="preserve">, amongst others, </w:t>
      </w:r>
      <w:r w:rsidR="00743307" w:rsidRPr="00743307">
        <w:rPr>
          <w:rFonts w:ascii="Bookman Old Style" w:hAnsi="Bookman Old Style"/>
          <w:color w:val="215E99" w:themeColor="text2" w:themeTint="BF"/>
        </w:rPr>
        <w:t xml:space="preserve">in the case of concentrates or other cargo that may liquefy, </w:t>
      </w:r>
      <w:r w:rsidRPr="00743307">
        <w:rPr>
          <w:rFonts w:ascii="Bookman Old Style" w:hAnsi="Bookman Old Style"/>
          <w:color w:val="215E99" w:themeColor="text2" w:themeTint="BF"/>
        </w:rPr>
        <w:t xml:space="preserve">shall include information in the form of </w:t>
      </w:r>
      <w:r w:rsidR="00743307" w:rsidRPr="00743307">
        <w:rPr>
          <w:rFonts w:ascii="Bookman Old Style" w:hAnsi="Bookman Old Style"/>
          <w:color w:val="215E99" w:themeColor="text2" w:themeTint="BF"/>
        </w:rPr>
        <w:t xml:space="preserve">signed </w:t>
      </w:r>
      <w:r w:rsidRPr="00743307">
        <w:rPr>
          <w:rFonts w:ascii="Bookman Old Style" w:hAnsi="Bookman Old Style"/>
          <w:color w:val="215E99" w:themeColor="text2" w:themeTint="BF"/>
        </w:rPr>
        <w:t>certificate on the Moisture Content and Transportable Moisture Limit of the cargo</w:t>
      </w:r>
      <w:r w:rsidR="00743307" w:rsidRPr="00743307">
        <w:rPr>
          <w:rFonts w:ascii="Bookman Old Style" w:hAnsi="Bookman Old Style"/>
          <w:color w:val="215E99" w:themeColor="text2" w:themeTint="BF"/>
        </w:rPr>
        <w:t>, issued by entity / laboratory approved by the Directorate General of Maritime Administration</w:t>
      </w:r>
    </w:p>
    <w:p w14:paraId="5B882B1A" w14:textId="77777777" w:rsidR="000B42D1" w:rsidRDefault="000B42D1" w:rsidP="007D6E38">
      <w:pPr>
        <w:snapToGrid w:val="0"/>
        <w:spacing w:before="120" w:after="120"/>
        <w:jc w:val="both"/>
        <w:rPr>
          <w:rFonts w:ascii="Bookman Old Style" w:hAnsi="Bookman Old Style"/>
        </w:rPr>
      </w:pPr>
    </w:p>
    <w:p w14:paraId="3D4F3EF6" w14:textId="7D422509" w:rsidR="00FD4DF7" w:rsidRPr="00FD4DF7" w:rsidRDefault="00FD4DF7" w:rsidP="00FD4DF7">
      <w:pPr>
        <w:pStyle w:val="ListParagraph"/>
        <w:numPr>
          <w:ilvl w:val="0"/>
          <w:numId w:val="51"/>
        </w:numPr>
        <w:snapToGrid w:val="0"/>
        <w:spacing w:before="120" w:after="120"/>
        <w:ind w:left="0" w:firstLine="0"/>
        <w:jc w:val="both"/>
        <w:rPr>
          <w:rFonts w:ascii="Bookman Old Style" w:hAnsi="Bookman Old Style"/>
          <w:b/>
        </w:rPr>
      </w:pPr>
      <w:r w:rsidRPr="00FD4DF7">
        <w:rPr>
          <w:rFonts w:ascii="Bookman Old Style" w:hAnsi="Bookman Old Style"/>
          <w:b/>
        </w:rPr>
        <w:t>Carriage requirement:</w:t>
      </w:r>
    </w:p>
    <w:p w14:paraId="242F436D" w14:textId="7C7B9625" w:rsidR="00FD4DF7" w:rsidRPr="003C3292" w:rsidRDefault="00FD4DF7" w:rsidP="00FD4DF7">
      <w:pPr>
        <w:snapToGrid w:val="0"/>
        <w:spacing w:before="120" w:after="120"/>
        <w:jc w:val="both"/>
        <w:rPr>
          <w:rFonts w:ascii="Bookman Old Style" w:hAnsi="Bookman Old Style"/>
        </w:rPr>
      </w:pPr>
      <w:r>
        <w:rPr>
          <w:rFonts w:ascii="Bookman Old Style" w:hAnsi="Bookman Old Style"/>
        </w:rPr>
        <w:t xml:space="preserve">(1) </w:t>
      </w:r>
      <w:r w:rsidRPr="003C3292">
        <w:rPr>
          <w:rFonts w:ascii="Bookman Old Style" w:hAnsi="Bookman Old Style"/>
        </w:rPr>
        <w:t xml:space="preserve">Every ship loading solid bulk cargoes other than grain shall comply with the requirements of the IMSBC Code and </w:t>
      </w:r>
      <w:r w:rsidR="00C26854">
        <w:rPr>
          <w:rFonts w:ascii="Bookman Old Style" w:hAnsi="Bookman Old Style"/>
        </w:rPr>
        <w:t xml:space="preserve">loading &amp; unloading </w:t>
      </w:r>
      <w:r w:rsidRPr="003C3292">
        <w:rPr>
          <w:rFonts w:ascii="Bookman Old Style" w:hAnsi="Bookman Old Style"/>
        </w:rPr>
        <w:t>procedures stipulated in the BLU Code</w:t>
      </w:r>
      <w:r w:rsidR="00C26854">
        <w:rPr>
          <w:rStyle w:val="FootnoteReference"/>
          <w:rFonts w:ascii="Bookman Old Style" w:hAnsi="Bookman Old Style"/>
        </w:rPr>
        <w:footnoteReference w:id="14"/>
      </w:r>
      <w:r w:rsidRPr="003C3292">
        <w:rPr>
          <w:rFonts w:ascii="Bookman Old Style" w:hAnsi="Bookman Old Style"/>
        </w:rPr>
        <w:t xml:space="preserve"> and BLU </w:t>
      </w:r>
      <w:r>
        <w:rPr>
          <w:rFonts w:ascii="Bookman Old Style" w:hAnsi="Bookman Old Style"/>
        </w:rPr>
        <w:t>M</w:t>
      </w:r>
      <w:r w:rsidRPr="003C3292">
        <w:rPr>
          <w:rFonts w:ascii="Bookman Old Style" w:hAnsi="Bookman Old Style"/>
        </w:rPr>
        <w:t>anual of this code applicable to the type of cargo being carried.</w:t>
      </w:r>
    </w:p>
    <w:p w14:paraId="137B116A" w14:textId="6D257F43" w:rsidR="00FD4DF7" w:rsidRPr="003C3292" w:rsidRDefault="00FD4DF7" w:rsidP="00FD4DF7">
      <w:pPr>
        <w:snapToGrid w:val="0"/>
        <w:spacing w:before="120" w:after="120"/>
        <w:jc w:val="both"/>
        <w:rPr>
          <w:rFonts w:ascii="Bookman Old Style" w:hAnsi="Bookman Old Style"/>
        </w:rPr>
      </w:pPr>
      <w:r>
        <w:rPr>
          <w:rFonts w:ascii="Bookman Old Style" w:hAnsi="Bookman Old Style"/>
        </w:rPr>
        <w:t xml:space="preserve">(2) </w:t>
      </w:r>
      <w:r w:rsidRPr="003C3292">
        <w:rPr>
          <w:rFonts w:ascii="Bookman Old Style" w:hAnsi="Bookman Old Style"/>
        </w:rPr>
        <w:t>The master shall ensure that bulk cargoes shall be loaded and trimmed properly to reasonable level, as necessary, to the boundaries of the cargo space as to minimize the risk of shifting and maintain adequate stability throughout the intended voyage. </w:t>
      </w:r>
    </w:p>
    <w:p w14:paraId="0BCB6D99" w14:textId="1A249A48" w:rsidR="00FD4DF7" w:rsidRPr="003C3292" w:rsidRDefault="00FD4DF7" w:rsidP="00FD4DF7">
      <w:pPr>
        <w:snapToGrid w:val="0"/>
        <w:spacing w:before="120" w:after="120"/>
        <w:jc w:val="both"/>
        <w:rPr>
          <w:rFonts w:ascii="Bookman Old Style" w:hAnsi="Bookman Old Style"/>
        </w:rPr>
      </w:pPr>
      <w:r>
        <w:rPr>
          <w:rFonts w:ascii="Bookman Old Style" w:hAnsi="Bookman Old Style"/>
        </w:rPr>
        <w:t xml:space="preserve">(3) </w:t>
      </w:r>
      <w:r w:rsidRPr="003C3292">
        <w:rPr>
          <w:rFonts w:ascii="Bookman Old Style" w:hAnsi="Bookman Old Style"/>
        </w:rPr>
        <w:t xml:space="preserve">When bulk cargoes are carried in "Tween-decks" of general cargo ships, the hatchways of such spaces shall be closed for cases where the loading information indicates an unacceptable level of stress on the bottom structure if the hatchways are left open.  The cargo shall be trimmed at reasonable level and either extend from side to side or secured by </w:t>
      </w:r>
      <w:r w:rsidRPr="003C3292">
        <w:rPr>
          <w:rFonts w:ascii="Bookman Old Style" w:hAnsi="Bookman Old Style"/>
        </w:rPr>
        <w:lastRenderedPageBreak/>
        <w:t xml:space="preserve">additional longitudinal divisions of sufficient strength. The safe load-carrying capacity of the "twin-decks" shall be observed to ensure that the deck-structure is not over stressed or overloaded. The Master shall be guided by the relevant sections of the code in respect of cargoes carried on tween Decker ship or general cargo ships. </w:t>
      </w:r>
    </w:p>
    <w:p w14:paraId="066E5F3F" w14:textId="081B554F" w:rsidR="00FD4DF7" w:rsidRPr="003C3292" w:rsidRDefault="00087C51" w:rsidP="00087C51">
      <w:pPr>
        <w:snapToGrid w:val="0"/>
        <w:spacing w:before="120" w:after="120"/>
        <w:jc w:val="both"/>
        <w:rPr>
          <w:rFonts w:ascii="Bookman Old Style" w:hAnsi="Bookman Old Style"/>
        </w:rPr>
      </w:pPr>
      <w:r>
        <w:rPr>
          <w:rFonts w:ascii="Bookman Old Style" w:hAnsi="Bookman Old Style"/>
        </w:rPr>
        <w:t xml:space="preserve">(4) </w:t>
      </w:r>
      <w:r w:rsidR="00FD4DF7" w:rsidRPr="003C3292">
        <w:rPr>
          <w:rFonts w:ascii="Bookman Old Style" w:hAnsi="Bookman Old Style"/>
        </w:rPr>
        <w:t>Every cargo ship of 500 gross tonnage and over constructed on or after 1984 and cargo ship of less than 500 gross tonnage constructed on or after 1</w:t>
      </w:r>
      <w:r w:rsidR="00FD4DF7" w:rsidRPr="003C3292">
        <w:rPr>
          <w:rFonts w:ascii="Bookman Old Style" w:hAnsi="Bookman Old Style"/>
          <w:vertAlign w:val="superscript"/>
        </w:rPr>
        <w:t>st</w:t>
      </w:r>
      <w:r w:rsidR="00FD4DF7" w:rsidRPr="003C3292">
        <w:rPr>
          <w:rFonts w:ascii="Bookman Old Style" w:hAnsi="Bookman Old Style"/>
        </w:rPr>
        <w:t xml:space="preserve"> February, 1992, when carrying dangerous goods in solid form in bulk, except class 6.2 &amp; class 7 of IMDG code, shall comply with SOLAS </w:t>
      </w:r>
      <w:r>
        <w:rPr>
          <w:rFonts w:ascii="Bookman Old Style" w:hAnsi="Bookman Old Style"/>
        </w:rPr>
        <w:t>R</w:t>
      </w:r>
      <w:r w:rsidR="00FD4DF7" w:rsidRPr="003C3292">
        <w:rPr>
          <w:rFonts w:ascii="Bookman Old Style" w:hAnsi="Bookman Old Style"/>
        </w:rPr>
        <w:t>egulation II-2/19</w:t>
      </w:r>
      <w:r>
        <w:rPr>
          <w:rFonts w:ascii="Bookman Old Style" w:hAnsi="Bookman Old Style"/>
        </w:rPr>
        <w:t xml:space="preserve">, and thereafter be issued </w:t>
      </w:r>
      <w:r w:rsidR="00FD4DF7" w:rsidRPr="003C3292">
        <w:rPr>
          <w:rFonts w:ascii="Bookman Old Style" w:hAnsi="Bookman Old Style"/>
        </w:rPr>
        <w:t xml:space="preserve">with a Document of </w:t>
      </w:r>
      <w:r>
        <w:rPr>
          <w:rFonts w:ascii="Bookman Old Style" w:hAnsi="Bookman Old Style"/>
        </w:rPr>
        <w:t>C</w:t>
      </w:r>
      <w:r w:rsidR="00FD4DF7" w:rsidRPr="003C3292">
        <w:rPr>
          <w:rFonts w:ascii="Bookman Old Style" w:hAnsi="Bookman Old Style"/>
        </w:rPr>
        <w:t xml:space="preserve">ompliance </w:t>
      </w:r>
      <w:r w:rsidR="00CE1673">
        <w:rPr>
          <w:rFonts w:ascii="Bookman Old Style" w:hAnsi="Bookman Old Style"/>
        </w:rPr>
        <w:t>with</w:t>
      </w:r>
      <w:r>
        <w:rPr>
          <w:rFonts w:ascii="Bookman Old Style" w:hAnsi="Bookman Old Style"/>
        </w:rPr>
        <w:t xml:space="preserve"> </w:t>
      </w:r>
      <w:r w:rsidR="00CE1673">
        <w:rPr>
          <w:rFonts w:ascii="Bookman Old Style" w:hAnsi="Bookman Old Style"/>
        </w:rPr>
        <w:t>S</w:t>
      </w:r>
      <w:r>
        <w:rPr>
          <w:rFonts w:ascii="Bookman Old Style" w:hAnsi="Bookman Old Style"/>
        </w:rPr>
        <w:t xml:space="preserve">pecial </w:t>
      </w:r>
      <w:r w:rsidR="00CE1673">
        <w:rPr>
          <w:rFonts w:ascii="Bookman Old Style" w:hAnsi="Bookman Old Style"/>
        </w:rPr>
        <w:t>R</w:t>
      </w:r>
      <w:r>
        <w:rPr>
          <w:rFonts w:ascii="Bookman Old Style" w:hAnsi="Bookman Old Style"/>
        </w:rPr>
        <w:t>equirements</w:t>
      </w:r>
      <w:r w:rsidR="00CE1673">
        <w:rPr>
          <w:rFonts w:ascii="Bookman Old Style" w:hAnsi="Bookman Old Style"/>
        </w:rPr>
        <w:t xml:space="preserve"> for Ships Carrying Dangerous Goods as per </w:t>
      </w:r>
      <w:r w:rsidR="00CE1673" w:rsidRPr="003C3292">
        <w:rPr>
          <w:rFonts w:ascii="Bookman Old Style" w:hAnsi="Bookman Old Style"/>
        </w:rPr>
        <w:t xml:space="preserve">SOLAS </w:t>
      </w:r>
      <w:r w:rsidR="00CE1673">
        <w:rPr>
          <w:rFonts w:ascii="Bookman Old Style" w:hAnsi="Bookman Old Style"/>
        </w:rPr>
        <w:t>R</w:t>
      </w:r>
      <w:r w:rsidR="00CE1673" w:rsidRPr="003C3292">
        <w:rPr>
          <w:rFonts w:ascii="Bookman Old Style" w:hAnsi="Bookman Old Style"/>
        </w:rPr>
        <w:t>egulation II-2/19</w:t>
      </w:r>
      <w:r w:rsidR="00CE1673">
        <w:rPr>
          <w:rFonts w:ascii="Bookman Old Style" w:hAnsi="Bookman Old Style"/>
        </w:rPr>
        <w:t>.4</w:t>
      </w:r>
      <w:r>
        <w:rPr>
          <w:rFonts w:ascii="Bookman Old Style" w:hAnsi="Bookman Old Style"/>
        </w:rPr>
        <w:t xml:space="preserve"> </w:t>
      </w:r>
      <w:r w:rsidR="00C26854">
        <w:rPr>
          <w:rFonts w:ascii="Bookman Old Style" w:hAnsi="Bookman Old Style"/>
        </w:rPr>
        <w:t xml:space="preserve">in format </w:t>
      </w:r>
      <w:r w:rsidR="00FD4DF7" w:rsidRPr="003C3292">
        <w:rPr>
          <w:rFonts w:ascii="Bookman Old Style" w:hAnsi="Bookman Old Style"/>
        </w:rPr>
        <w:t xml:space="preserve">as specified in </w:t>
      </w:r>
      <w:r w:rsidR="00CE1673" w:rsidRPr="0074707A">
        <w:rPr>
          <w:rFonts w:ascii="Bookman Old Style" w:hAnsi="Bookman Old Style"/>
          <w:highlight w:val="yellow"/>
        </w:rPr>
        <w:t>First Schedule.</w:t>
      </w:r>
    </w:p>
    <w:p w14:paraId="19A0B536" w14:textId="77777777" w:rsidR="00FD4DF7" w:rsidRDefault="00FD4DF7" w:rsidP="007D6E38">
      <w:pPr>
        <w:snapToGrid w:val="0"/>
        <w:spacing w:before="120" w:after="120"/>
        <w:jc w:val="both"/>
        <w:rPr>
          <w:rFonts w:ascii="Bookman Old Style" w:hAnsi="Bookman Old Style"/>
        </w:rPr>
      </w:pPr>
    </w:p>
    <w:p w14:paraId="40BDAB29" w14:textId="77777777" w:rsidR="00CE1673" w:rsidRDefault="00CE1673" w:rsidP="00EC5FBB">
      <w:pPr>
        <w:pStyle w:val="ListParagraph"/>
        <w:numPr>
          <w:ilvl w:val="0"/>
          <w:numId w:val="51"/>
        </w:numPr>
        <w:snapToGrid w:val="0"/>
        <w:spacing w:before="120" w:after="120"/>
        <w:ind w:left="0" w:firstLine="0"/>
        <w:contextualSpacing w:val="0"/>
        <w:jc w:val="both"/>
        <w:rPr>
          <w:rFonts w:ascii="Bookman Old Style" w:hAnsi="Bookman Old Style"/>
          <w:b/>
        </w:rPr>
      </w:pPr>
      <w:r w:rsidRPr="00CE1673">
        <w:rPr>
          <w:rFonts w:ascii="Bookman Old Style" w:hAnsi="Bookman Old Style"/>
          <w:b/>
        </w:rPr>
        <w:t>Loading, unloading and stowage:</w:t>
      </w:r>
    </w:p>
    <w:p w14:paraId="4C99420B" w14:textId="7D4BD161" w:rsidR="00CE1673" w:rsidRPr="00E23CD8" w:rsidRDefault="00CE1673" w:rsidP="00EC5FBB">
      <w:pPr>
        <w:pStyle w:val="ListParagraph"/>
        <w:snapToGrid w:val="0"/>
        <w:spacing w:before="120" w:after="120"/>
        <w:ind w:left="0"/>
        <w:contextualSpacing w:val="0"/>
        <w:jc w:val="both"/>
        <w:rPr>
          <w:rFonts w:ascii="Bookman Old Style" w:hAnsi="Bookman Old Style"/>
          <w:b/>
          <w:color w:val="215E99" w:themeColor="text2" w:themeTint="BF"/>
        </w:rPr>
      </w:pPr>
      <w:r w:rsidRPr="00E23CD8">
        <w:rPr>
          <w:rFonts w:ascii="Bookman Old Style" w:hAnsi="Bookman Old Style"/>
          <w:bCs/>
          <w:color w:val="215E99" w:themeColor="text2" w:themeTint="BF"/>
        </w:rPr>
        <w:t xml:space="preserve">(1) The shipper, ship owner, ship master and the ports involved in the safe loading and unloading of solid bulk cargoes listed in the IMSBC Code shall strictly comply with the relevant responsibilities, duties and authority specified in the BLU Code and detailed procedures in the BLU </w:t>
      </w:r>
      <w:r w:rsidR="00E23CD8">
        <w:rPr>
          <w:rFonts w:ascii="Bookman Old Style" w:hAnsi="Bookman Old Style"/>
          <w:bCs/>
          <w:color w:val="215E99" w:themeColor="text2" w:themeTint="BF"/>
        </w:rPr>
        <w:t>M</w:t>
      </w:r>
      <w:r w:rsidRPr="00E23CD8">
        <w:rPr>
          <w:rFonts w:ascii="Bookman Old Style" w:hAnsi="Bookman Old Style"/>
          <w:bCs/>
          <w:color w:val="215E99" w:themeColor="text2" w:themeTint="BF"/>
        </w:rPr>
        <w:t>anual.</w:t>
      </w:r>
    </w:p>
    <w:p w14:paraId="1CF28895" w14:textId="79CBD0DB" w:rsidR="00CE1673" w:rsidRPr="00E23CD8" w:rsidRDefault="00CE1673" w:rsidP="00EC5FBB">
      <w:pPr>
        <w:snapToGrid w:val="0"/>
        <w:spacing w:before="120" w:after="120"/>
        <w:jc w:val="both"/>
        <w:rPr>
          <w:rFonts w:ascii="Bookman Old Style" w:hAnsi="Bookman Old Style"/>
          <w:bCs/>
          <w:color w:val="215E99" w:themeColor="text2" w:themeTint="BF"/>
        </w:rPr>
      </w:pPr>
      <w:r w:rsidRPr="00E23CD8">
        <w:rPr>
          <w:rFonts w:ascii="Bookman Old Style" w:hAnsi="Bookman Old Style"/>
          <w:bCs/>
          <w:color w:val="215E99" w:themeColor="text2" w:themeTint="BF"/>
        </w:rPr>
        <w:t>(2) The cargoes that are not listed or detailed information is not available, the shipper, ship owner, ship master and the concerned ports shall approach the competent authority as specified in Rule 4(1</w:t>
      </w:r>
      <w:r w:rsidR="00E9469C" w:rsidRPr="00E23CD8">
        <w:rPr>
          <w:rFonts w:ascii="Bookman Old Style" w:hAnsi="Bookman Old Style"/>
          <w:bCs/>
          <w:color w:val="215E99" w:themeColor="text2" w:themeTint="BF"/>
        </w:rPr>
        <w:t>1</w:t>
      </w:r>
      <w:r w:rsidRPr="00E23CD8">
        <w:rPr>
          <w:rFonts w:ascii="Bookman Old Style" w:hAnsi="Bookman Old Style"/>
          <w:bCs/>
          <w:color w:val="215E99" w:themeColor="text2" w:themeTint="BF"/>
        </w:rPr>
        <w:t>) without any delay.</w:t>
      </w:r>
    </w:p>
    <w:p w14:paraId="1F6E7F91" w14:textId="368EA45C" w:rsidR="00CE1673" w:rsidRPr="003C3292" w:rsidRDefault="004B21A5" w:rsidP="00EC5FBB">
      <w:pPr>
        <w:snapToGrid w:val="0"/>
        <w:spacing w:before="120" w:after="120"/>
        <w:jc w:val="both"/>
        <w:rPr>
          <w:rFonts w:ascii="Bookman Old Style" w:hAnsi="Bookman Old Style"/>
          <w:bCs/>
        </w:rPr>
      </w:pPr>
      <w:r>
        <w:rPr>
          <w:rFonts w:ascii="Bookman Old Style" w:hAnsi="Bookman Old Style"/>
        </w:rPr>
        <w:t xml:space="preserve">(3) </w:t>
      </w:r>
      <w:r w:rsidR="00CE1673" w:rsidRPr="003C3292">
        <w:rPr>
          <w:rFonts w:ascii="Bookman Old Style" w:hAnsi="Bookman Old Style"/>
        </w:rPr>
        <w:t xml:space="preserve">To </w:t>
      </w:r>
      <w:r>
        <w:rPr>
          <w:rFonts w:ascii="Bookman Old Style" w:hAnsi="Bookman Old Style"/>
        </w:rPr>
        <w:t>e</w:t>
      </w:r>
      <w:r w:rsidR="00CE1673" w:rsidRPr="003C3292">
        <w:rPr>
          <w:rFonts w:ascii="Bookman Old Style" w:hAnsi="Bookman Old Style"/>
        </w:rPr>
        <w:t xml:space="preserve">nable </w:t>
      </w:r>
      <w:r>
        <w:rPr>
          <w:rFonts w:ascii="Bookman Old Style" w:hAnsi="Bookman Old Style"/>
        </w:rPr>
        <w:t>the</w:t>
      </w:r>
      <w:r w:rsidR="00CE1673" w:rsidRPr="003C3292">
        <w:rPr>
          <w:rFonts w:ascii="Bookman Old Style" w:hAnsi="Bookman Old Style"/>
        </w:rPr>
        <w:t xml:space="preserve"> master to prevent excessive stresses in the ship structure, all ship engaged in shipment of such cargoes shall be provided with a booklet, duly approved by the </w:t>
      </w:r>
      <w:r>
        <w:rPr>
          <w:rFonts w:ascii="Bookman Old Style" w:hAnsi="Bookman Old Style"/>
        </w:rPr>
        <w:t xml:space="preserve">Recognized Organization (RO), </w:t>
      </w:r>
      <w:r w:rsidR="00CE1673" w:rsidRPr="003C3292">
        <w:rPr>
          <w:rFonts w:ascii="Bookman Old Style" w:hAnsi="Bookman Old Style"/>
        </w:rPr>
        <w:t xml:space="preserve">written in a language with which the ships Master and </w:t>
      </w:r>
      <w:r>
        <w:rPr>
          <w:rFonts w:ascii="Bookman Old Style" w:hAnsi="Bookman Old Style"/>
        </w:rPr>
        <w:t>O</w:t>
      </w:r>
      <w:r w:rsidR="00CE1673" w:rsidRPr="003C3292">
        <w:rPr>
          <w:rFonts w:ascii="Bookman Old Style" w:hAnsi="Bookman Old Style"/>
        </w:rPr>
        <w:t>fficers responsible for cargo operations are familiar</w:t>
      </w:r>
      <w:r>
        <w:rPr>
          <w:rFonts w:ascii="Bookman Old Style" w:hAnsi="Bookman Old Style"/>
        </w:rPr>
        <w:t xml:space="preserve"> with</w:t>
      </w:r>
      <w:r w:rsidR="00CE1673" w:rsidRPr="003C3292">
        <w:rPr>
          <w:rFonts w:ascii="Bookman Old Style" w:hAnsi="Bookman Old Style"/>
        </w:rPr>
        <w:t xml:space="preserve">.  If this language is not in English, the ship shall be provided with the booklet written also in the English language.  The booklet shall as a minimum include: </w:t>
      </w:r>
    </w:p>
    <w:p w14:paraId="6D20A36E" w14:textId="5CD69E30" w:rsidR="00CE1673" w:rsidRPr="003C3292" w:rsidRDefault="004B21A5" w:rsidP="00EC5FBB">
      <w:pPr>
        <w:snapToGrid w:val="0"/>
        <w:spacing w:before="120" w:after="120"/>
        <w:jc w:val="both"/>
        <w:rPr>
          <w:rFonts w:ascii="Bookman Old Style" w:hAnsi="Bookman Old Style"/>
        </w:rPr>
      </w:pPr>
      <w:r>
        <w:rPr>
          <w:rFonts w:ascii="Bookman Old Style" w:hAnsi="Bookman Old Style"/>
        </w:rPr>
        <w:t xml:space="preserve">(a) </w:t>
      </w:r>
      <w:r w:rsidR="00CE1673" w:rsidRPr="003C3292">
        <w:rPr>
          <w:rFonts w:ascii="Bookman Old Style" w:hAnsi="Bookman Old Style"/>
        </w:rPr>
        <w:t>stability data, as required by SOLAS</w:t>
      </w:r>
      <w:r w:rsidR="00F43D7D">
        <w:rPr>
          <w:rFonts w:ascii="Bookman Old Style" w:hAnsi="Bookman Old Style"/>
        </w:rPr>
        <w:t xml:space="preserve"> Regulation II-1/5-</w:t>
      </w:r>
      <w:proofErr w:type="gramStart"/>
      <w:r w:rsidR="00F43D7D">
        <w:rPr>
          <w:rFonts w:ascii="Bookman Old Style" w:hAnsi="Bookman Old Style"/>
        </w:rPr>
        <w:t>1</w:t>
      </w:r>
      <w:r w:rsidR="00CE1673" w:rsidRPr="003C3292">
        <w:rPr>
          <w:rFonts w:ascii="Bookman Old Style" w:hAnsi="Bookman Old Style"/>
        </w:rPr>
        <w:t>;</w:t>
      </w:r>
      <w:proofErr w:type="gramEnd"/>
    </w:p>
    <w:p w14:paraId="182AB749" w14:textId="6398C6D2" w:rsidR="00CE1673" w:rsidRPr="003C3292" w:rsidRDefault="004B21A5" w:rsidP="004B21A5">
      <w:pPr>
        <w:snapToGrid w:val="0"/>
        <w:spacing w:before="120" w:after="120"/>
        <w:jc w:val="both"/>
        <w:rPr>
          <w:rFonts w:ascii="Bookman Old Style" w:hAnsi="Bookman Old Style"/>
        </w:rPr>
      </w:pPr>
      <w:r>
        <w:rPr>
          <w:rFonts w:ascii="Bookman Old Style" w:hAnsi="Bookman Old Style"/>
        </w:rPr>
        <w:t xml:space="preserve">(b) </w:t>
      </w:r>
      <w:r w:rsidR="00CE1673" w:rsidRPr="003C3292">
        <w:rPr>
          <w:rFonts w:ascii="Bookman Old Style" w:hAnsi="Bookman Old Style"/>
        </w:rPr>
        <w:t xml:space="preserve">ballasting and de-ballasting rates and </w:t>
      </w:r>
      <w:proofErr w:type="gramStart"/>
      <w:r w:rsidR="00CE1673" w:rsidRPr="003C3292">
        <w:rPr>
          <w:rFonts w:ascii="Bookman Old Style" w:hAnsi="Bookman Old Style"/>
        </w:rPr>
        <w:t>capacities;</w:t>
      </w:r>
      <w:proofErr w:type="gramEnd"/>
    </w:p>
    <w:p w14:paraId="39C63CD1" w14:textId="34F4E593" w:rsidR="00CE1673" w:rsidRPr="003C3292" w:rsidRDefault="004B21A5" w:rsidP="004B21A5">
      <w:pPr>
        <w:snapToGrid w:val="0"/>
        <w:spacing w:before="120" w:after="120"/>
        <w:jc w:val="both"/>
        <w:rPr>
          <w:rFonts w:ascii="Bookman Old Style" w:hAnsi="Bookman Old Style"/>
        </w:rPr>
      </w:pPr>
      <w:r>
        <w:rPr>
          <w:rFonts w:ascii="Bookman Old Style" w:hAnsi="Bookman Old Style"/>
        </w:rPr>
        <w:t xml:space="preserve">(c) </w:t>
      </w:r>
      <w:r w:rsidR="00CE1673" w:rsidRPr="003C3292">
        <w:rPr>
          <w:rFonts w:ascii="Bookman Old Style" w:hAnsi="Bookman Old Style"/>
        </w:rPr>
        <w:t xml:space="preserve">maximum allowable load per unit surface area of the tank </w:t>
      </w:r>
      <w:r>
        <w:rPr>
          <w:rFonts w:ascii="Bookman Old Style" w:hAnsi="Bookman Old Style"/>
        </w:rPr>
        <w:t>top</w:t>
      </w:r>
      <w:r w:rsidR="00CE1673" w:rsidRPr="003C3292">
        <w:rPr>
          <w:rFonts w:ascii="Bookman Old Style" w:hAnsi="Bookman Old Style"/>
        </w:rPr>
        <w:t xml:space="preserve"> </w:t>
      </w:r>
      <w:proofErr w:type="gramStart"/>
      <w:r w:rsidR="00CE1673" w:rsidRPr="003C3292">
        <w:rPr>
          <w:rFonts w:ascii="Bookman Old Style" w:hAnsi="Bookman Old Style"/>
        </w:rPr>
        <w:t>plating;</w:t>
      </w:r>
      <w:proofErr w:type="gramEnd"/>
    </w:p>
    <w:p w14:paraId="0517FAD7" w14:textId="21744110" w:rsidR="00CE1673" w:rsidRPr="003C3292" w:rsidRDefault="004B21A5" w:rsidP="004B21A5">
      <w:pPr>
        <w:snapToGrid w:val="0"/>
        <w:spacing w:before="120" w:after="120"/>
        <w:jc w:val="both"/>
        <w:rPr>
          <w:rFonts w:ascii="Bookman Old Style" w:hAnsi="Bookman Old Style"/>
        </w:rPr>
      </w:pPr>
      <w:r>
        <w:rPr>
          <w:rFonts w:ascii="Bookman Old Style" w:hAnsi="Bookman Old Style"/>
        </w:rPr>
        <w:t xml:space="preserve">(d) </w:t>
      </w:r>
      <w:r w:rsidR="00CE1673" w:rsidRPr="003C3292">
        <w:rPr>
          <w:rFonts w:ascii="Bookman Old Style" w:hAnsi="Bookman Old Style"/>
        </w:rPr>
        <w:t xml:space="preserve">maximum allowable load per </w:t>
      </w:r>
      <w:proofErr w:type="gramStart"/>
      <w:r w:rsidR="00CE1673" w:rsidRPr="003C3292">
        <w:rPr>
          <w:rFonts w:ascii="Bookman Old Style" w:hAnsi="Bookman Old Style"/>
        </w:rPr>
        <w:t>hold;</w:t>
      </w:r>
      <w:proofErr w:type="gramEnd"/>
    </w:p>
    <w:p w14:paraId="03FEC694" w14:textId="2354736D" w:rsidR="00CE1673" w:rsidRPr="003C3292" w:rsidRDefault="004B21A5" w:rsidP="004B21A5">
      <w:pPr>
        <w:snapToGrid w:val="0"/>
        <w:spacing w:before="120" w:after="120"/>
        <w:jc w:val="both"/>
        <w:rPr>
          <w:rFonts w:ascii="Bookman Old Style" w:hAnsi="Bookman Old Style"/>
        </w:rPr>
      </w:pPr>
      <w:r>
        <w:rPr>
          <w:rFonts w:ascii="Bookman Old Style" w:hAnsi="Bookman Old Style"/>
        </w:rPr>
        <w:t xml:space="preserve">(e) </w:t>
      </w:r>
      <w:r w:rsidR="00CE1673" w:rsidRPr="003C3292">
        <w:rPr>
          <w:rFonts w:ascii="Bookman Old Style" w:hAnsi="Bookman Old Style"/>
        </w:rPr>
        <w:t xml:space="preserve">general loading and unloading instructions </w:t>
      </w:r>
      <w:proofErr w:type="gramStart"/>
      <w:r w:rsidR="00CE1673" w:rsidRPr="003C3292">
        <w:rPr>
          <w:rFonts w:ascii="Bookman Old Style" w:hAnsi="Bookman Old Style"/>
        </w:rPr>
        <w:t>with regard to</w:t>
      </w:r>
      <w:proofErr w:type="gramEnd"/>
      <w:r w:rsidR="00CE1673" w:rsidRPr="003C3292">
        <w:rPr>
          <w:rFonts w:ascii="Bookman Old Style" w:hAnsi="Bookman Old Style"/>
        </w:rPr>
        <w:t xml:space="preserve"> the strength of the ships structure including any limitations on the most adverse operating conditions during loading, unloading, ballasting operation and the </w:t>
      </w:r>
      <w:proofErr w:type="gramStart"/>
      <w:r w:rsidR="00CE1673" w:rsidRPr="003C3292">
        <w:rPr>
          <w:rFonts w:ascii="Bookman Old Style" w:hAnsi="Bookman Old Style"/>
        </w:rPr>
        <w:t>voyage;</w:t>
      </w:r>
      <w:proofErr w:type="gramEnd"/>
    </w:p>
    <w:p w14:paraId="6014BF48" w14:textId="7B37B62A" w:rsidR="00CE1673" w:rsidRPr="00E23CD8" w:rsidRDefault="004B21A5" w:rsidP="004B21A5">
      <w:pPr>
        <w:snapToGrid w:val="0"/>
        <w:spacing w:before="120" w:after="120"/>
        <w:jc w:val="both"/>
        <w:rPr>
          <w:rFonts w:ascii="Bookman Old Style" w:hAnsi="Bookman Old Style"/>
          <w:color w:val="215E99" w:themeColor="text2" w:themeTint="BF"/>
        </w:rPr>
      </w:pPr>
      <w:r w:rsidRPr="00E23CD8">
        <w:rPr>
          <w:rFonts w:ascii="Bookman Old Style" w:hAnsi="Bookman Old Style"/>
          <w:color w:val="215E99" w:themeColor="text2" w:themeTint="BF"/>
        </w:rPr>
        <w:t xml:space="preserve">(f) </w:t>
      </w:r>
      <w:r w:rsidR="00CE1673" w:rsidRPr="00E23CD8">
        <w:rPr>
          <w:rFonts w:ascii="Bookman Old Style" w:hAnsi="Bookman Old Style"/>
          <w:color w:val="215E99" w:themeColor="text2" w:themeTint="BF"/>
        </w:rPr>
        <w:t>any special restrictions such as limitations on the most adverse operating conditions impost</w:t>
      </w:r>
      <w:r w:rsidRPr="00E23CD8">
        <w:rPr>
          <w:rFonts w:ascii="Bookman Old Style" w:hAnsi="Bookman Old Style"/>
          <w:color w:val="215E99" w:themeColor="text2" w:themeTint="BF"/>
        </w:rPr>
        <w:t xml:space="preserve"> </w:t>
      </w:r>
      <w:r w:rsidR="00CE1673" w:rsidRPr="00E23CD8">
        <w:rPr>
          <w:rFonts w:ascii="Bookman Old Style" w:hAnsi="Bookman Old Style"/>
          <w:color w:val="215E99" w:themeColor="text2" w:themeTint="BF"/>
        </w:rPr>
        <w:t xml:space="preserve">by the Central Government </w:t>
      </w:r>
      <w:r w:rsidRPr="00E23CD8">
        <w:rPr>
          <w:rFonts w:ascii="Bookman Old Style" w:hAnsi="Bookman Old Style"/>
          <w:color w:val="215E99" w:themeColor="text2" w:themeTint="BF"/>
        </w:rPr>
        <w:t xml:space="preserve">issued by a relevant notice, if </w:t>
      </w:r>
      <w:proofErr w:type="gramStart"/>
      <w:r w:rsidRPr="00E23CD8">
        <w:rPr>
          <w:rFonts w:ascii="Bookman Old Style" w:hAnsi="Bookman Old Style"/>
          <w:color w:val="215E99" w:themeColor="text2" w:themeTint="BF"/>
        </w:rPr>
        <w:t>any</w:t>
      </w:r>
      <w:r w:rsidR="00CE1673" w:rsidRPr="00E23CD8">
        <w:rPr>
          <w:rFonts w:ascii="Bookman Old Style" w:hAnsi="Bookman Old Style"/>
          <w:color w:val="215E99" w:themeColor="text2" w:themeTint="BF"/>
        </w:rPr>
        <w:t>;</w:t>
      </w:r>
      <w:proofErr w:type="gramEnd"/>
    </w:p>
    <w:p w14:paraId="37D7EFD8" w14:textId="4915C8D2" w:rsidR="00CE1673" w:rsidRPr="004B21A5" w:rsidRDefault="004B21A5" w:rsidP="004B21A5">
      <w:pPr>
        <w:snapToGrid w:val="0"/>
        <w:spacing w:before="120" w:after="120"/>
        <w:jc w:val="both"/>
        <w:rPr>
          <w:rFonts w:ascii="Bookman Old Style" w:hAnsi="Bookman Old Style"/>
        </w:rPr>
      </w:pPr>
      <w:r>
        <w:rPr>
          <w:rFonts w:ascii="Bookman Old Style" w:hAnsi="Bookman Old Style"/>
        </w:rPr>
        <w:lastRenderedPageBreak/>
        <w:t>(g) w</w:t>
      </w:r>
      <w:r w:rsidR="00CE1673" w:rsidRPr="003C3292">
        <w:rPr>
          <w:rFonts w:ascii="Bookman Old Style" w:hAnsi="Bookman Old Style"/>
        </w:rPr>
        <w:t xml:space="preserve">here strength calculations are required maximum permissible forces and movement on the ship's hull during loading, unloading and the voyage. </w:t>
      </w:r>
    </w:p>
    <w:p w14:paraId="07FE5B95" w14:textId="77777777" w:rsidR="00EC5FBB" w:rsidRPr="001A2B18" w:rsidRDefault="004B21A5" w:rsidP="00EC5FBB">
      <w:pPr>
        <w:snapToGrid w:val="0"/>
        <w:spacing w:before="120" w:after="120"/>
        <w:jc w:val="both"/>
        <w:rPr>
          <w:rFonts w:ascii="Bookman Old Style" w:hAnsi="Bookman Old Style"/>
          <w:bCs/>
        </w:rPr>
      </w:pPr>
      <w:r>
        <w:rPr>
          <w:rFonts w:ascii="Bookman Old Style" w:hAnsi="Bookman Old Style"/>
        </w:rPr>
        <w:t xml:space="preserve">(4) </w:t>
      </w:r>
      <w:r w:rsidR="00CE1673" w:rsidRPr="003C3292">
        <w:rPr>
          <w:rFonts w:ascii="Bookman Old Style" w:hAnsi="Bookman Old Style"/>
        </w:rPr>
        <w:t>Before a solid bulk cargo is loaded or unloaded, the master and the terminal representative shall agree on a plan, drawn up in accordance with BLU code, which ensures that the permissible forces and moments on the ship are not exceeded during loading or unloading, and shall include the sequence, quantity and rate of loading or unloading, taking into consideration the speed of loading or unloading, the number of pours and de-ballasting or ballasting capability of the ship.</w:t>
      </w:r>
      <w:r>
        <w:rPr>
          <w:rFonts w:ascii="Bookman Old Style" w:hAnsi="Bookman Old Style"/>
        </w:rPr>
        <w:t xml:space="preserve"> </w:t>
      </w:r>
      <w:r w:rsidR="00CE1673" w:rsidRPr="003C3292">
        <w:rPr>
          <w:rFonts w:ascii="Bookman Old Style" w:hAnsi="Bookman Old Style"/>
        </w:rPr>
        <w:t>The plan and any subsequent amendments thereto shall be lodged with the nearest authority of the port State</w:t>
      </w:r>
      <w:r w:rsidR="00CE1673" w:rsidRPr="001A2B18">
        <w:rPr>
          <w:rFonts w:ascii="Bookman Old Style" w:hAnsi="Bookman Old Style"/>
        </w:rPr>
        <w:t xml:space="preserve">. For this purpose, on the coast of India, the nearest Mercantile Marine Department (MMD) shall be treated as Port State </w:t>
      </w:r>
      <w:r w:rsidRPr="001A2B18">
        <w:rPr>
          <w:rFonts w:ascii="Bookman Old Style" w:hAnsi="Bookman Old Style"/>
        </w:rPr>
        <w:t>A</w:t>
      </w:r>
      <w:r w:rsidR="00CE1673" w:rsidRPr="001A2B18">
        <w:rPr>
          <w:rFonts w:ascii="Bookman Old Style" w:hAnsi="Bookman Old Style"/>
        </w:rPr>
        <w:t xml:space="preserve">uthority. </w:t>
      </w:r>
    </w:p>
    <w:p w14:paraId="408E6EDF" w14:textId="1280D4FC" w:rsidR="00CE1673" w:rsidRPr="001A2B18" w:rsidRDefault="00EC5FBB" w:rsidP="00EC5FBB">
      <w:pPr>
        <w:snapToGrid w:val="0"/>
        <w:spacing w:before="120" w:after="120"/>
        <w:jc w:val="both"/>
        <w:rPr>
          <w:rFonts w:ascii="Bookman Old Style" w:hAnsi="Bookman Old Style"/>
          <w:bCs/>
        </w:rPr>
      </w:pPr>
      <w:r w:rsidRPr="001A2B18">
        <w:rPr>
          <w:rFonts w:ascii="Bookman Old Style" w:hAnsi="Bookman Old Style"/>
          <w:bCs/>
        </w:rPr>
        <w:t xml:space="preserve">(5) </w:t>
      </w:r>
      <w:r w:rsidR="00CE1673" w:rsidRPr="001A2B18">
        <w:rPr>
          <w:rFonts w:ascii="Bookman Old Style" w:hAnsi="Bookman Old Style"/>
        </w:rPr>
        <w:t xml:space="preserve">The Master and terminal Representative shall ensure that loading and unloading operations are conducted in accordance with the agreed plan. </w:t>
      </w:r>
    </w:p>
    <w:p w14:paraId="419D34B0" w14:textId="11185EC1" w:rsidR="00CE1673" w:rsidRDefault="00EC5FBB" w:rsidP="00EC5FBB">
      <w:pPr>
        <w:snapToGrid w:val="0"/>
        <w:spacing w:before="120" w:after="120"/>
        <w:jc w:val="both"/>
        <w:rPr>
          <w:rFonts w:ascii="Bookman Old Style" w:hAnsi="Bookman Old Style"/>
        </w:rPr>
      </w:pPr>
      <w:r w:rsidRPr="001A2B18">
        <w:rPr>
          <w:rFonts w:ascii="Bookman Old Style" w:hAnsi="Bookman Old Style"/>
          <w:bCs/>
        </w:rPr>
        <w:t xml:space="preserve">(6) </w:t>
      </w:r>
      <w:r w:rsidR="00CE1673" w:rsidRPr="001A2B18">
        <w:rPr>
          <w:rFonts w:ascii="Bookman Old Style" w:hAnsi="Bookman Old Style"/>
        </w:rPr>
        <w:t xml:space="preserve">If during loading or unloading any of the limits specified in </w:t>
      </w:r>
      <w:r w:rsidRPr="001A2B18">
        <w:rPr>
          <w:rFonts w:ascii="Bookman Old Style" w:hAnsi="Bookman Old Style"/>
        </w:rPr>
        <w:t>the cargo plan as mentioned in Rule 1</w:t>
      </w:r>
      <w:r w:rsidR="0074707A" w:rsidRPr="001A2B18">
        <w:rPr>
          <w:rFonts w:ascii="Bookman Old Style" w:hAnsi="Bookman Old Style"/>
        </w:rPr>
        <w:t>4</w:t>
      </w:r>
      <w:r w:rsidRPr="001A2B18">
        <w:rPr>
          <w:rFonts w:ascii="Bookman Old Style" w:hAnsi="Bookman Old Style"/>
        </w:rPr>
        <w:t xml:space="preserve">(4) </w:t>
      </w:r>
      <w:r w:rsidR="00CE1673" w:rsidRPr="001A2B18">
        <w:rPr>
          <w:rFonts w:ascii="Bookman Old Style" w:hAnsi="Bookman Old Style"/>
        </w:rPr>
        <w:t xml:space="preserve">are exceeded or likely to become so if the loading or unloading continues, the master has the right to suspend operation and </w:t>
      </w:r>
      <w:r w:rsidRPr="001A2B18">
        <w:rPr>
          <w:rFonts w:ascii="Bookman Old Style" w:hAnsi="Bookman Old Style"/>
        </w:rPr>
        <w:t xml:space="preserve">has </w:t>
      </w:r>
      <w:r w:rsidR="00CE1673" w:rsidRPr="001A2B18">
        <w:rPr>
          <w:rFonts w:ascii="Bookman Old Style" w:hAnsi="Bookman Old Style"/>
        </w:rPr>
        <w:t xml:space="preserve">the obligation to notify accordingly to the authority specified in </w:t>
      </w:r>
      <w:r w:rsidRPr="001A2B18">
        <w:rPr>
          <w:rFonts w:ascii="Bookman Old Style" w:hAnsi="Bookman Old Style"/>
        </w:rPr>
        <w:t>Rule 1</w:t>
      </w:r>
      <w:r w:rsidR="0074707A" w:rsidRPr="001A2B18">
        <w:rPr>
          <w:rFonts w:ascii="Bookman Old Style" w:hAnsi="Bookman Old Style"/>
        </w:rPr>
        <w:t>4</w:t>
      </w:r>
      <w:r w:rsidRPr="001A2B18">
        <w:rPr>
          <w:rFonts w:ascii="Bookman Old Style" w:hAnsi="Bookman Old Style"/>
        </w:rPr>
        <w:t xml:space="preserve">(4) </w:t>
      </w:r>
      <w:r w:rsidR="00CE1673" w:rsidRPr="001A2B18">
        <w:rPr>
          <w:rFonts w:ascii="Bookman Old Style" w:hAnsi="Bookman Old Style"/>
        </w:rPr>
        <w:t xml:space="preserve">with which the </w:t>
      </w:r>
      <w:r w:rsidRPr="001A2B18">
        <w:rPr>
          <w:rFonts w:ascii="Bookman Old Style" w:hAnsi="Bookman Old Style"/>
        </w:rPr>
        <w:t xml:space="preserve">aforesaid </w:t>
      </w:r>
      <w:r w:rsidR="00CE1673" w:rsidRPr="001A2B18">
        <w:rPr>
          <w:rFonts w:ascii="Bookman Old Style" w:hAnsi="Bookman Old Style"/>
        </w:rPr>
        <w:t>plan has been lodged. The master and the terminal representative shall ensure that corrective action is taken.  When unloading cargo, the master and terminal representative shall ensure that unloading method does not damage the ship’s structure.</w:t>
      </w:r>
    </w:p>
    <w:p w14:paraId="109225F5" w14:textId="75AF7430" w:rsidR="003D077C" w:rsidRPr="00DA543B" w:rsidRDefault="003D077C" w:rsidP="00EC5FBB">
      <w:pPr>
        <w:snapToGrid w:val="0"/>
        <w:spacing w:before="120" w:after="120"/>
        <w:jc w:val="both"/>
        <w:rPr>
          <w:rFonts w:ascii="Bookman Old Style" w:hAnsi="Bookman Old Style"/>
          <w:bCs/>
          <w:color w:val="215E99" w:themeColor="text2" w:themeTint="BF"/>
        </w:rPr>
      </w:pPr>
      <w:r w:rsidRPr="00DA543B">
        <w:rPr>
          <w:rFonts w:ascii="Bookman Old Style" w:hAnsi="Bookman Old Style"/>
          <w:color w:val="215E99" w:themeColor="text2" w:themeTint="BF"/>
        </w:rPr>
        <w:t xml:space="preserve">(7) </w:t>
      </w:r>
      <w:r w:rsidR="00DA543B" w:rsidRPr="00DA543B">
        <w:rPr>
          <w:rFonts w:ascii="Bookman Old Style" w:hAnsi="Bookman Old Style"/>
          <w:color w:val="215E99" w:themeColor="text2" w:themeTint="BF"/>
        </w:rPr>
        <w:t>If any damage occurs, that could impair the structural capability or the watertight integrity or the ships essential engineering systems, then the damage is to be reported to the Recognized Organization (RO) or the Authority of the Port State in case of outside India.</w:t>
      </w:r>
    </w:p>
    <w:p w14:paraId="29AC98BC" w14:textId="00589DA5" w:rsidR="00CE1673" w:rsidRPr="001A2B18" w:rsidRDefault="00EC5FBB" w:rsidP="00EC5FBB">
      <w:pPr>
        <w:snapToGrid w:val="0"/>
        <w:spacing w:before="120" w:after="120"/>
        <w:jc w:val="both"/>
        <w:rPr>
          <w:rFonts w:ascii="Bookman Old Style" w:hAnsi="Bookman Old Style"/>
          <w:bCs/>
        </w:rPr>
      </w:pPr>
      <w:r w:rsidRPr="001A2B18">
        <w:rPr>
          <w:rFonts w:ascii="Bookman Old Style" w:hAnsi="Bookman Old Style"/>
          <w:bCs/>
        </w:rPr>
        <w:t>(</w:t>
      </w:r>
      <w:r w:rsidR="003D077C">
        <w:rPr>
          <w:rFonts w:ascii="Bookman Old Style" w:hAnsi="Bookman Old Style"/>
          <w:bCs/>
        </w:rPr>
        <w:t>8</w:t>
      </w:r>
      <w:r w:rsidRPr="001A2B18">
        <w:rPr>
          <w:rFonts w:ascii="Bookman Old Style" w:hAnsi="Bookman Old Style"/>
          <w:bCs/>
        </w:rPr>
        <w:t xml:space="preserve">) </w:t>
      </w:r>
      <w:r w:rsidR="00CE1673" w:rsidRPr="001A2B18">
        <w:rPr>
          <w:rFonts w:ascii="Bookman Old Style" w:hAnsi="Bookman Old Style"/>
        </w:rPr>
        <w:t>The master shall ensure that ships personnel continuously monitor cargo operations.</w:t>
      </w:r>
      <w:r w:rsidRPr="001A2B18">
        <w:rPr>
          <w:rFonts w:ascii="Bookman Old Style" w:hAnsi="Bookman Old Style"/>
        </w:rPr>
        <w:t xml:space="preserve"> </w:t>
      </w:r>
      <w:r w:rsidR="00CE1673" w:rsidRPr="001A2B18">
        <w:rPr>
          <w:rFonts w:ascii="Bookman Old Style" w:hAnsi="Bookman Old Style"/>
        </w:rPr>
        <w:t xml:space="preserve">Where possible, the ships draft shall be checked regularly during loading or unloading to confirm the tonnage figure supplied.  Each draft and tonnage observation shall be recorded in a cargo </w:t>
      </w:r>
      <w:proofErr w:type="gramStart"/>
      <w:r w:rsidR="00CE1673" w:rsidRPr="001A2B18">
        <w:rPr>
          <w:rFonts w:ascii="Bookman Old Style" w:hAnsi="Bookman Old Style"/>
        </w:rPr>
        <w:t>log-book</w:t>
      </w:r>
      <w:proofErr w:type="gramEnd"/>
      <w:r w:rsidR="00CE1673" w:rsidRPr="001A2B18">
        <w:rPr>
          <w:rFonts w:ascii="Bookman Old Style" w:hAnsi="Bookman Old Style"/>
        </w:rPr>
        <w:t xml:space="preserve"> or other equivalent ship’s </w:t>
      </w:r>
      <w:proofErr w:type="gramStart"/>
      <w:r w:rsidR="00CE1673" w:rsidRPr="001A2B18">
        <w:rPr>
          <w:rFonts w:ascii="Bookman Old Style" w:hAnsi="Bookman Old Style"/>
        </w:rPr>
        <w:t>log book</w:t>
      </w:r>
      <w:proofErr w:type="gramEnd"/>
      <w:r w:rsidR="00CE1673" w:rsidRPr="001A2B18">
        <w:rPr>
          <w:rFonts w:ascii="Bookman Old Style" w:hAnsi="Bookman Old Style"/>
        </w:rPr>
        <w:t xml:space="preserve">.  If significant deviations from the agreed plan are detected, cargo or ballast operations or both shall be adjusted to ensure that the deviations are corrected.  </w:t>
      </w:r>
    </w:p>
    <w:p w14:paraId="1B3CC60A" w14:textId="6844B312" w:rsidR="00CE1673" w:rsidRPr="001A2B18" w:rsidRDefault="00F43DAB" w:rsidP="00CE1673">
      <w:pPr>
        <w:autoSpaceDE w:val="0"/>
        <w:autoSpaceDN w:val="0"/>
        <w:adjustRightInd w:val="0"/>
        <w:snapToGrid w:val="0"/>
        <w:spacing w:before="120" w:after="120"/>
        <w:jc w:val="both"/>
        <w:rPr>
          <w:rFonts w:ascii="Bookman Old Style" w:hAnsi="Bookman Old Style"/>
          <w:b/>
        </w:rPr>
      </w:pPr>
      <w:r w:rsidRPr="001A2B18">
        <w:rPr>
          <w:rFonts w:ascii="Bookman Old Style" w:hAnsi="Bookman Old Style"/>
        </w:rPr>
        <w:t>(</w:t>
      </w:r>
      <w:r w:rsidR="00DA543B">
        <w:rPr>
          <w:rFonts w:ascii="Bookman Old Style" w:hAnsi="Bookman Old Style"/>
        </w:rPr>
        <w:t>9</w:t>
      </w:r>
      <w:r w:rsidRPr="001A2B18">
        <w:rPr>
          <w:rFonts w:ascii="Bookman Old Style" w:hAnsi="Bookman Old Style"/>
        </w:rPr>
        <w:t>) T</w:t>
      </w:r>
      <w:r w:rsidR="00CE1673" w:rsidRPr="001A2B18">
        <w:rPr>
          <w:rFonts w:ascii="Bookman Old Style" w:hAnsi="Bookman Old Style"/>
        </w:rPr>
        <w:t xml:space="preserve">he competent authority as specified in </w:t>
      </w:r>
      <w:r w:rsidRPr="001A2B18">
        <w:rPr>
          <w:rFonts w:ascii="Bookman Old Style" w:hAnsi="Bookman Old Style"/>
        </w:rPr>
        <w:t>R</w:t>
      </w:r>
      <w:r w:rsidR="00CE1673" w:rsidRPr="001A2B18">
        <w:rPr>
          <w:rFonts w:ascii="Bookman Old Style" w:hAnsi="Bookman Old Style"/>
        </w:rPr>
        <w:t xml:space="preserve">ule </w:t>
      </w:r>
      <w:r w:rsidRPr="001A2B18">
        <w:rPr>
          <w:rFonts w:ascii="Bookman Old Style" w:hAnsi="Bookman Old Style"/>
        </w:rPr>
        <w:t>4(1</w:t>
      </w:r>
      <w:r w:rsidR="00E9469C" w:rsidRPr="001A2B18">
        <w:rPr>
          <w:rFonts w:ascii="Bookman Old Style" w:hAnsi="Bookman Old Style"/>
        </w:rPr>
        <w:t>1</w:t>
      </w:r>
      <w:r w:rsidRPr="001A2B18">
        <w:rPr>
          <w:rFonts w:ascii="Bookman Old Style" w:hAnsi="Bookman Old Style"/>
        </w:rPr>
        <w:t xml:space="preserve">) </w:t>
      </w:r>
      <w:r w:rsidR="00CE1673" w:rsidRPr="001A2B18">
        <w:rPr>
          <w:rFonts w:ascii="Bookman Old Style" w:hAnsi="Bookman Old Style"/>
        </w:rPr>
        <w:t xml:space="preserve">in consultation with ship owners, ports, shippers and other entities may issue </w:t>
      </w:r>
      <w:r w:rsidRPr="001A2B18">
        <w:rPr>
          <w:rFonts w:ascii="Bookman Old Style" w:hAnsi="Bookman Old Style"/>
        </w:rPr>
        <w:t xml:space="preserve">notice </w:t>
      </w:r>
      <w:r w:rsidR="00CE1673" w:rsidRPr="001A2B18">
        <w:rPr>
          <w:rFonts w:ascii="Bookman Old Style" w:hAnsi="Bookman Old Style"/>
        </w:rPr>
        <w:t>detail</w:t>
      </w:r>
      <w:r w:rsidRPr="001A2B18">
        <w:rPr>
          <w:rFonts w:ascii="Bookman Old Style" w:hAnsi="Bookman Old Style"/>
        </w:rPr>
        <w:t xml:space="preserve">ing </w:t>
      </w:r>
      <w:r w:rsidR="00CE1673" w:rsidRPr="001A2B18">
        <w:rPr>
          <w:rFonts w:ascii="Bookman Old Style" w:hAnsi="Bookman Old Style"/>
        </w:rPr>
        <w:t>procedures and guidelines</w:t>
      </w:r>
      <w:r w:rsidRPr="001A2B18">
        <w:rPr>
          <w:rFonts w:ascii="Bookman Old Style" w:hAnsi="Bookman Old Style"/>
        </w:rPr>
        <w:t>,</w:t>
      </w:r>
      <w:r w:rsidR="00CE1673" w:rsidRPr="001A2B18">
        <w:rPr>
          <w:rFonts w:ascii="Bookman Old Style" w:hAnsi="Bookman Old Style"/>
        </w:rPr>
        <w:t xml:space="preserve"> from time to time</w:t>
      </w:r>
      <w:r w:rsidRPr="001A2B18">
        <w:rPr>
          <w:rFonts w:ascii="Bookman Old Style" w:hAnsi="Bookman Old Style"/>
        </w:rPr>
        <w:t>,</w:t>
      </w:r>
      <w:r w:rsidR="00CE1673" w:rsidRPr="001A2B18">
        <w:rPr>
          <w:rFonts w:ascii="Bookman Old Style" w:hAnsi="Bookman Old Style"/>
        </w:rPr>
        <w:t xml:space="preserve"> to implement and enforce the provisions of IMSBC Code that includes BLU </w:t>
      </w:r>
      <w:r w:rsidRPr="001A2B18">
        <w:rPr>
          <w:rFonts w:ascii="Bookman Old Style" w:hAnsi="Bookman Old Style"/>
        </w:rPr>
        <w:t>C</w:t>
      </w:r>
      <w:r w:rsidR="00CE1673" w:rsidRPr="001A2B18">
        <w:rPr>
          <w:rFonts w:ascii="Bookman Old Style" w:hAnsi="Bookman Old Style"/>
        </w:rPr>
        <w:t xml:space="preserve">ode and BLU </w:t>
      </w:r>
      <w:r w:rsidRPr="001A2B18">
        <w:rPr>
          <w:rFonts w:ascii="Bookman Old Style" w:hAnsi="Bookman Old Style"/>
        </w:rPr>
        <w:t>M</w:t>
      </w:r>
      <w:r w:rsidR="00CE1673" w:rsidRPr="001A2B18">
        <w:rPr>
          <w:rFonts w:ascii="Bookman Old Style" w:hAnsi="Bookman Old Style"/>
        </w:rPr>
        <w:t>anual effectively.</w:t>
      </w:r>
    </w:p>
    <w:p w14:paraId="2905D92E" w14:textId="77777777" w:rsidR="00CE1673" w:rsidRPr="001A2B18" w:rsidRDefault="00CE1673" w:rsidP="007D6E38">
      <w:pPr>
        <w:snapToGrid w:val="0"/>
        <w:spacing w:before="120" w:after="120"/>
        <w:jc w:val="both"/>
        <w:rPr>
          <w:rFonts w:ascii="Bookman Old Style" w:hAnsi="Bookman Old Style"/>
        </w:rPr>
      </w:pPr>
    </w:p>
    <w:p w14:paraId="57054C99" w14:textId="77777777" w:rsidR="00FD4DF7" w:rsidRPr="001A2B18" w:rsidRDefault="00FD4DF7" w:rsidP="007D6E38">
      <w:pPr>
        <w:snapToGrid w:val="0"/>
        <w:spacing w:before="120" w:after="120"/>
        <w:jc w:val="both"/>
        <w:rPr>
          <w:rFonts w:ascii="Bookman Old Style" w:hAnsi="Bookman Old Style"/>
        </w:rPr>
      </w:pPr>
    </w:p>
    <w:p w14:paraId="2688072E" w14:textId="6AA96A25" w:rsidR="00F43D7D" w:rsidRPr="001A2B18" w:rsidRDefault="00F43D7D" w:rsidP="00F43D7D">
      <w:pPr>
        <w:snapToGrid w:val="0"/>
        <w:spacing w:before="120" w:after="120"/>
        <w:jc w:val="both"/>
        <w:rPr>
          <w:rFonts w:ascii="Bookman Old Style" w:hAnsi="Bookman Old Style"/>
          <w:b/>
        </w:rPr>
      </w:pPr>
      <w:r w:rsidRPr="001A2B18">
        <w:rPr>
          <w:rFonts w:ascii="Bookman Old Style" w:hAnsi="Bookman Old Style"/>
          <w:b/>
        </w:rPr>
        <w:t xml:space="preserve">Part III: Carriage of </w:t>
      </w:r>
      <w:r w:rsidR="00DF0054" w:rsidRPr="001A2B18">
        <w:rPr>
          <w:rFonts w:ascii="Bookman Old Style" w:hAnsi="Bookman Old Style"/>
          <w:b/>
        </w:rPr>
        <w:t>cargoes other than solid bulk cargoes</w:t>
      </w:r>
      <w:r w:rsidRPr="001A2B18">
        <w:rPr>
          <w:rFonts w:ascii="Bookman Old Style" w:hAnsi="Bookman Old Style"/>
          <w:b/>
        </w:rPr>
        <w:t>:</w:t>
      </w:r>
    </w:p>
    <w:p w14:paraId="37BFAE56" w14:textId="77777777" w:rsidR="00FD4DF7" w:rsidRPr="001A2B18" w:rsidRDefault="00FD4DF7" w:rsidP="007D6E38">
      <w:pPr>
        <w:snapToGrid w:val="0"/>
        <w:spacing w:before="120" w:after="120"/>
        <w:jc w:val="both"/>
        <w:rPr>
          <w:rFonts w:ascii="Bookman Old Style" w:hAnsi="Bookman Old Style"/>
        </w:rPr>
      </w:pPr>
    </w:p>
    <w:p w14:paraId="29CBC05B" w14:textId="1C3DA56D" w:rsidR="00275B59" w:rsidRPr="001A2B18" w:rsidRDefault="00DF0054" w:rsidP="00275B59">
      <w:pPr>
        <w:pStyle w:val="ListParagraph"/>
        <w:numPr>
          <w:ilvl w:val="0"/>
          <w:numId w:val="51"/>
        </w:numPr>
        <w:snapToGrid w:val="0"/>
        <w:spacing w:before="120" w:after="120"/>
        <w:ind w:left="0" w:firstLine="0"/>
        <w:jc w:val="both"/>
        <w:rPr>
          <w:rFonts w:ascii="Bookman Old Style" w:hAnsi="Bookman Old Style"/>
          <w:b/>
          <w:bCs/>
        </w:rPr>
      </w:pPr>
      <w:r w:rsidRPr="001A2B18">
        <w:rPr>
          <w:rFonts w:ascii="Bookman Old Style" w:hAnsi="Bookman Old Style"/>
          <w:b/>
          <w:bCs/>
        </w:rPr>
        <w:lastRenderedPageBreak/>
        <w:t>Carriage of</w:t>
      </w:r>
      <w:r w:rsidR="00275B59" w:rsidRPr="001A2B18">
        <w:rPr>
          <w:rFonts w:ascii="Bookman Old Style" w:hAnsi="Bookman Old Style"/>
          <w:b/>
          <w:bCs/>
        </w:rPr>
        <w:t xml:space="preserve"> grain:</w:t>
      </w:r>
    </w:p>
    <w:p w14:paraId="5CBFB9F4" w14:textId="77B19611" w:rsidR="00275B59" w:rsidRPr="001A2B18" w:rsidRDefault="00275B59" w:rsidP="00275B59">
      <w:pPr>
        <w:snapToGrid w:val="0"/>
        <w:spacing w:before="120" w:after="120"/>
        <w:jc w:val="both"/>
        <w:rPr>
          <w:rFonts w:ascii="Bookman Old Style" w:hAnsi="Bookman Old Style"/>
        </w:rPr>
      </w:pPr>
      <w:r w:rsidRPr="001C1EF6">
        <w:rPr>
          <w:rFonts w:ascii="Bookman Old Style" w:hAnsi="Bookman Old Style"/>
          <w:color w:val="215E99" w:themeColor="text2" w:themeTint="BF"/>
        </w:rPr>
        <w:t>(1) In addition to any other applicable requirements under the Rules, a cargo ship carrying grain shall comply with the requirement of the International Grain Code and hold a document of authorization approved by the Central Government.</w:t>
      </w:r>
      <w:r w:rsidRPr="001A2B18">
        <w:rPr>
          <w:rFonts w:ascii="Bookman Old Style" w:hAnsi="Bookman Old Style"/>
        </w:rPr>
        <w:t xml:space="preserve">  </w:t>
      </w:r>
    </w:p>
    <w:p w14:paraId="5FF5999E" w14:textId="609DEF67" w:rsidR="004D7958" w:rsidRPr="001C1EF6" w:rsidRDefault="004D7958" w:rsidP="00275B59">
      <w:pPr>
        <w:snapToGrid w:val="0"/>
        <w:spacing w:before="120" w:after="120"/>
        <w:jc w:val="both"/>
        <w:rPr>
          <w:rFonts w:ascii="Bookman Old Style" w:hAnsi="Bookman Old Style"/>
          <w:color w:val="215E99" w:themeColor="text2" w:themeTint="BF"/>
        </w:rPr>
      </w:pPr>
      <w:r w:rsidRPr="001C1EF6">
        <w:rPr>
          <w:rFonts w:ascii="Bookman Old Style" w:hAnsi="Bookman Old Style"/>
          <w:color w:val="215E99" w:themeColor="text2" w:themeTint="BF"/>
        </w:rPr>
        <w:t>(</w:t>
      </w:r>
      <w:r w:rsidR="002E1B91">
        <w:rPr>
          <w:rFonts w:ascii="Bookman Old Style" w:hAnsi="Bookman Old Style"/>
          <w:color w:val="215E99" w:themeColor="text2" w:themeTint="BF"/>
        </w:rPr>
        <w:t>2</w:t>
      </w:r>
      <w:r w:rsidRPr="001C1EF6">
        <w:rPr>
          <w:rFonts w:ascii="Bookman Old Style" w:hAnsi="Bookman Old Style"/>
          <w:color w:val="215E99" w:themeColor="text2" w:themeTint="BF"/>
        </w:rPr>
        <w:t xml:space="preserve">) </w:t>
      </w:r>
      <w:r w:rsidR="002E1B91">
        <w:rPr>
          <w:rFonts w:ascii="Bookman Old Style" w:hAnsi="Bookman Old Style"/>
          <w:color w:val="215E99" w:themeColor="text2" w:themeTint="BF"/>
        </w:rPr>
        <w:t>For a ship loading grain, t</w:t>
      </w:r>
      <w:r w:rsidRPr="001C1EF6">
        <w:rPr>
          <w:rFonts w:ascii="Bookman Old Style" w:hAnsi="Bookman Old Style"/>
          <w:color w:val="215E99" w:themeColor="text2" w:themeTint="BF"/>
        </w:rPr>
        <w:t xml:space="preserve">he Master of the ship shall satisfy to the Principal Officer, of the Mercantile Marine Department of the district or his authorized official that the ship complies with the requirements of these </w:t>
      </w:r>
      <w:r w:rsidR="00DF0054" w:rsidRPr="001C1EF6">
        <w:rPr>
          <w:rFonts w:ascii="Bookman Old Style" w:hAnsi="Bookman Old Style"/>
          <w:color w:val="215E99" w:themeColor="text2" w:themeTint="BF"/>
        </w:rPr>
        <w:t>R</w:t>
      </w:r>
      <w:r w:rsidRPr="001C1EF6">
        <w:rPr>
          <w:rFonts w:ascii="Bookman Old Style" w:hAnsi="Bookman Old Style"/>
          <w:color w:val="215E99" w:themeColor="text2" w:themeTint="BF"/>
        </w:rPr>
        <w:t xml:space="preserve">ules and the provisions of International </w:t>
      </w:r>
      <w:r w:rsidR="002E1B91">
        <w:rPr>
          <w:rFonts w:ascii="Bookman Old Style" w:hAnsi="Bookman Old Style"/>
          <w:color w:val="215E99" w:themeColor="text2" w:themeTint="BF"/>
        </w:rPr>
        <w:t xml:space="preserve">Code for Safe Carriage of </w:t>
      </w:r>
      <w:r w:rsidRPr="001C1EF6">
        <w:rPr>
          <w:rFonts w:ascii="Bookman Old Style" w:hAnsi="Bookman Old Style"/>
          <w:color w:val="215E99" w:themeColor="text2" w:themeTint="BF"/>
        </w:rPr>
        <w:t>Grain</w:t>
      </w:r>
      <w:r w:rsidR="002E1B91">
        <w:rPr>
          <w:rFonts w:ascii="Bookman Old Style" w:hAnsi="Bookman Old Style"/>
          <w:color w:val="215E99" w:themeColor="text2" w:themeTint="BF"/>
        </w:rPr>
        <w:t xml:space="preserve"> in Bulk (Resolution MSC.23(59))</w:t>
      </w:r>
      <w:r w:rsidRPr="001C1EF6">
        <w:rPr>
          <w:rFonts w:ascii="Bookman Old Style" w:hAnsi="Bookman Old Style"/>
          <w:color w:val="215E99" w:themeColor="text2" w:themeTint="BF"/>
        </w:rPr>
        <w:t xml:space="preserve"> in its proposed loaded condition.</w:t>
      </w:r>
    </w:p>
    <w:p w14:paraId="3259146F" w14:textId="71182F70" w:rsidR="00275B59" w:rsidRPr="001A2B18" w:rsidRDefault="00275B59" w:rsidP="00275B59">
      <w:pPr>
        <w:snapToGrid w:val="0"/>
        <w:spacing w:before="120" w:after="120"/>
        <w:jc w:val="both"/>
        <w:rPr>
          <w:rFonts w:ascii="Bookman Old Style" w:hAnsi="Bookman Old Style"/>
        </w:rPr>
      </w:pPr>
      <w:r w:rsidRPr="002E1B91">
        <w:rPr>
          <w:rFonts w:ascii="Bookman Old Style" w:hAnsi="Bookman Old Style"/>
          <w:color w:val="215E99" w:themeColor="text2" w:themeTint="BF"/>
        </w:rPr>
        <w:t>(</w:t>
      </w:r>
      <w:r w:rsidR="002E1B91" w:rsidRPr="002E1B91">
        <w:rPr>
          <w:rFonts w:ascii="Bookman Old Style" w:hAnsi="Bookman Old Style"/>
          <w:color w:val="215E99" w:themeColor="text2" w:themeTint="BF"/>
        </w:rPr>
        <w:t>3</w:t>
      </w:r>
      <w:r w:rsidRPr="002E1B91">
        <w:rPr>
          <w:rFonts w:ascii="Bookman Old Style" w:hAnsi="Bookman Old Style"/>
          <w:color w:val="215E99" w:themeColor="text2" w:themeTint="BF"/>
        </w:rPr>
        <w:t xml:space="preserve">) A ship without a document required under Rule 15(1), shall not load grain until the master </w:t>
      </w:r>
      <w:r w:rsidR="002E1B91" w:rsidRPr="002E1B91">
        <w:rPr>
          <w:rFonts w:ascii="Bookman Old Style" w:hAnsi="Bookman Old Style"/>
          <w:color w:val="215E99" w:themeColor="text2" w:themeTint="BF"/>
        </w:rPr>
        <w:t>demonstrates to the satisfaction of competent authority as defined in Rule 4(11)</w:t>
      </w:r>
      <w:r w:rsidRPr="002E1B91">
        <w:rPr>
          <w:rFonts w:ascii="Bookman Old Style" w:hAnsi="Bookman Old Style"/>
          <w:color w:val="215E99" w:themeColor="text2" w:themeTint="BF"/>
        </w:rPr>
        <w:t xml:space="preserve">, or </w:t>
      </w:r>
      <w:r w:rsidR="002E1B91" w:rsidRPr="002E1B91">
        <w:rPr>
          <w:rFonts w:ascii="Bookman Old Style" w:hAnsi="Bookman Old Style"/>
          <w:color w:val="215E99" w:themeColor="text2" w:themeTint="BF"/>
        </w:rPr>
        <w:t xml:space="preserve">of the Contracting Government of the port of loading, </w:t>
      </w:r>
      <w:r w:rsidRPr="002E1B91">
        <w:rPr>
          <w:rFonts w:ascii="Bookman Old Style" w:hAnsi="Bookman Old Style"/>
          <w:color w:val="215E99" w:themeColor="text2" w:themeTint="BF"/>
        </w:rPr>
        <w:t xml:space="preserve">that the ship </w:t>
      </w:r>
      <w:r w:rsidR="002E1B91" w:rsidRPr="002E1B91">
        <w:rPr>
          <w:rFonts w:ascii="Bookman Old Style" w:hAnsi="Bookman Old Style"/>
          <w:color w:val="215E99" w:themeColor="text2" w:themeTint="BF"/>
        </w:rPr>
        <w:t xml:space="preserve">in its loaded condition the ship shall comply with the </w:t>
      </w:r>
      <w:r w:rsidRPr="002E1B91">
        <w:rPr>
          <w:rFonts w:ascii="Bookman Old Style" w:hAnsi="Bookman Old Style"/>
          <w:color w:val="215E99" w:themeColor="text2" w:themeTint="BF"/>
        </w:rPr>
        <w:t xml:space="preserve">will comply with the </w:t>
      </w:r>
      <w:r w:rsidR="002E1B91" w:rsidRPr="002E1B91">
        <w:rPr>
          <w:rFonts w:ascii="Bookman Old Style" w:hAnsi="Bookman Old Style"/>
          <w:color w:val="215E99" w:themeColor="text2" w:themeTint="BF"/>
        </w:rPr>
        <w:t>provisions of International Code for Safe Carriage of Grain in Bulk (Resolution MSC.23(59)).</w:t>
      </w:r>
    </w:p>
    <w:p w14:paraId="1209A6FA" w14:textId="77777777" w:rsidR="00DF0054" w:rsidRPr="001A2B18" w:rsidRDefault="00DF0054" w:rsidP="00DF0054">
      <w:pPr>
        <w:snapToGrid w:val="0"/>
        <w:spacing w:before="120" w:after="120"/>
        <w:jc w:val="both"/>
        <w:rPr>
          <w:rFonts w:ascii="Bookman Old Style" w:hAnsi="Bookman Old Style"/>
        </w:rPr>
      </w:pPr>
    </w:p>
    <w:p w14:paraId="47BFC831" w14:textId="7A181D1A" w:rsidR="00DF0054" w:rsidRPr="001A2B18" w:rsidRDefault="00DF0054" w:rsidP="00DF0054">
      <w:pPr>
        <w:pStyle w:val="ListParagraph"/>
        <w:numPr>
          <w:ilvl w:val="0"/>
          <w:numId w:val="51"/>
        </w:numPr>
        <w:snapToGrid w:val="0"/>
        <w:spacing w:before="120" w:after="120"/>
        <w:ind w:left="0" w:firstLine="0"/>
        <w:jc w:val="both"/>
        <w:rPr>
          <w:rFonts w:ascii="Bookman Old Style" w:hAnsi="Bookman Old Style"/>
          <w:b/>
          <w:bCs/>
        </w:rPr>
      </w:pPr>
      <w:r w:rsidRPr="001A2B18">
        <w:rPr>
          <w:rFonts w:ascii="Bookman Old Style" w:hAnsi="Bookman Old Style"/>
          <w:b/>
          <w:bCs/>
        </w:rPr>
        <w:t>Carriage of timber cargoes:</w:t>
      </w:r>
    </w:p>
    <w:p w14:paraId="36D7A202" w14:textId="26BC8678" w:rsidR="00DF0054" w:rsidRPr="00EA6663" w:rsidRDefault="00A148BA" w:rsidP="00A148BA">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(1) </w:t>
      </w:r>
      <w:r w:rsidR="00DF0054" w:rsidRPr="00EA6663">
        <w:rPr>
          <w:rFonts w:ascii="Bookman Old Style" w:hAnsi="Bookman Old Style"/>
          <w:color w:val="215E99" w:themeColor="text2" w:themeTint="BF"/>
        </w:rPr>
        <w:t xml:space="preserve">Every ship carrying timber deck cargo and timber inside the hold shall comply with the provisions of the </w:t>
      </w:r>
      <w:r w:rsidRPr="00EA6663">
        <w:rPr>
          <w:rFonts w:ascii="Bookman Old Style" w:hAnsi="Bookman Old Style"/>
          <w:color w:val="215E99" w:themeColor="text2" w:themeTint="BF"/>
        </w:rPr>
        <w:t>recommendation issued by the Organization</w:t>
      </w:r>
      <w:r w:rsidRPr="00EA6663">
        <w:rPr>
          <w:rStyle w:val="FootnoteReference"/>
          <w:rFonts w:ascii="Bookman Old Style" w:hAnsi="Bookman Old Style"/>
          <w:color w:val="215E99" w:themeColor="text2" w:themeTint="BF"/>
        </w:rPr>
        <w:footnoteReference w:id="15"/>
      </w:r>
      <w:r w:rsidRPr="00EA6663">
        <w:rPr>
          <w:rFonts w:ascii="Bookman Old Style" w:hAnsi="Bookman Old Style"/>
          <w:color w:val="215E99" w:themeColor="text2" w:themeTint="BF"/>
        </w:rPr>
        <w:t>, amended and adopted from time to time.</w:t>
      </w:r>
      <w:r w:rsidR="00DF0054" w:rsidRPr="00EA6663">
        <w:rPr>
          <w:rFonts w:ascii="Bookman Old Style" w:hAnsi="Bookman Old Style"/>
          <w:color w:val="215E99" w:themeColor="text2" w:themeTint="BF"/>
        </w:rPr>
        <w:t xml:space="preserve">  </w:t>
      </w:r>
    </w:p>
    <w:p w14:paraId="023C0EF0" w14:textId="338529F6" w:rsidR="00DF0054" w:rsidRPr="00EA6663" w:rsidRDefault="00A148BA" w:rsidP="00A148BA">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(2) </w:t>
      </w:r>
      <w:r w:rsidR="00DF0054" w:rsidRPr="00EA6663">
        <w:rPr>
          <w:rFonts w:ascii="Bookman Old Style" w:hAnsi="Bookman Old Style"/>
          <w:color w:val="215E99" w:themeColor="text2" w:themeTint="BF"/>
        </w:rPr>
        <w:t xml:space="preserve">Ships that are provided with and making use of their timber load line should also comply with the requirements of the applicable regulations of the International Load Line Convention, as amended, and shall load timber under-deck and deck cargo as per approved stability booklet conditions. </w:t>
      </w:r>
    </w:p>
    <w:p w14:paraId="3F564261" w14:textId="16E9F6AA" w:rsidR="00DF0054" w:rsidRPr="00EA6663" w:rsidRDefault="00A148BA" w:rsidP="00A148BA">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(3) </w:t>
      </w:r>
      <w:r w:rsidR="00DF0054" w:rsidRPr="00EA6663">
        <w:rPr>
          <w:rFonts w:ascii="Bookman Old Style" w:hAnsi="Bookman Old Style"/>
          <w:color w:val="215E99" w:themeColor="text2" w:themeTint="BF"/>
        </w:rPr>
        <w:t xml:space="preserve">A vessel loaded with timber deck cargo, shall </w:t>
      </w:r>
      <w:r w:rsidR="00F934EF" w:rsidRPr="00EA6663">
        <w:rPr>
          <w:rFonts w:ascii="Bookman Old Style" w:hAnsi="Bookman Old Style"/>
          <w:color w:val="215E99" w:themeColor="text2" w:themeTint="BF"/>
        </w:rPr>
        <w:t xml:space="preserve">demonstrate compliance </w:t>
      </w:r>
      <w:r w:rsidR="00DF0054" w:rsidRPr="00EA6663">
        <w:rPr>
          <w:rFonts w:ascii="Bookman Old Style" w:hAnsi="Bookman Old Style"/>
          <w:color w:val="215E99" w:themeColor="text2" w:themeTint="BF"/>
        </w:rPr>
        <w:t xml:space="preserve">with </w:t>
      </w:r>
      <w:r w:rsidR="00F934EF" w:rsidRPr="00EA6663">
        <w:rPr>
          <w:rFonts w:ascii="Bookman Old Style" w:hAnsi="Bookman Old Style"/>
          <w:color w:val="215E99" w:themeColor="text2" w:themeTint="BF"/>
        </w:rPr>
        <w:t xml:space="preserve">Rule 16(1) and 16(2) </w:t>
      </w:r>
      <w:r w:rsidR="00DF0054" w:rsidRPr="00EA6663">
        <w:rPr>
          <w:rFonts w:ascii="Bookman Old Style" w:hAnsi="Bookman Old Style"/>
          <w:color w:val="215E99" w:themeColor="text2" w:themeTint="BF"/>
        </w:rPr>
        <w:t xml:space="preserve">to the Principal Officer, of the Mercantile Marine Department of the district or his authorized or concerned </w:t>
      </w:r>
      <w:r w:rsidR="00F934EF" w:rsidRPr="00EA6663">
        <w:rPr>
          <w:rFonts w:ascii="Bookman Old Style" w:hAnsi="Bookman Old Style"/>
          <w:color w:val="215E99" w:themeColor="text2" w:themeTint="BF"/>
        </w:rPr>
        <w:t>P</w:t>
      </w:r>
      <w:r w:rsidR="00DF0054" w:rsidRPr="00EA6663">
        <w:rPr>
          <w:rFonts w:ascii="Bookman Old Style" w:hAnsi="Bookman Old Style"/>
          <w:color w:val="215E99" w:themeColor="text2" w:themeTint="BF"/>
        </w:rPr>
        <w:t xml:space="preserve">ort State </w:t>
      </w:r>
      <w:r w:rsidR="00F934EF" w:rsidRPr="00EA6663">
        <w:rPr>
          <w:rFonts w:ascii="Bookman Old Style" w:hAnsi="Bookman Old Style"/>
          <w:color w:val="215E99" w:themeColor="text2" w:themeTint="BF"/>
        </w:rPr>
        <w:t>C</w:t>
      </w:r>
      <w:r w:rsidR="00DF0054" w:rsidRPr="00EA6663">
        <w:rPr>
          <w:rFonts w:ascii="Bookman Old Style" w:hAnsi="Bookman Old Style"/>
          <w:color w:val="215E99" w:themeColor="text2" w:themeTint="BF"/>
        </w:rPr>
        <w:t xml:space="preserve">ontrol officer if outside India. </w:t>
      </w:r>
    </w:p>
    <w:p w14:paraId="6B3D5FB3" w14:textId="77777777" w:rsidR="00DF0054" w:rsidRPr="001A2B18" w:rsidRDefault="00DF0054" w:rsidP="00DF0054">
      <w:pPr>
        <w:snapToGrid w:val="0"/>
        <w:spacing w:before="120" w:after="120"/>
        <w:jc w:val="both"/>
        <w:rPr>
          <w:rFonts w:ascii="Bookman Old Style" w:hAnsi="Bookman Old Style"/>
        </w:rPr>
      </w:pPr>
    </w:p>
    <w:p w14:paraId="40A433D5" w14:textId="44C4AE15" w:rsidR="00DF0054" w:rsidRPr="001A2B18" w:rsidRDefault="00DF0054" w:rsidP="00DF0054">
      <w:pPr>
        <w:pStyle w:val="ListParagraph"/>
        <w:numPr>
          <w:ilvl w:val="0"/>
          <w:numId w:val="51"/>
        </w:numPr>
        <w:snapToGrid w:val="0"/>
        <w:spacing w:before="120" w:after="120"/>
        <w:ind w:left="0" w:firstLine="0"/>
        <w:jc w:val="both"/>
        <w:rPr>
          <w:rFonts w:ascii="Bookman Old Style" w:hAnsi="Bookman Old Style"/>
          <w:b/>
        </w:rPr>
      </w:pPr>
      <w:r w:rsidRPr="001A2B18">
        <w:rPr>
          <w:rFonts w:ascii="Bookman Old Style" w:hAnsi="Bookman Old Style"/>
          <w:b/>
        </w:rPr>
        <w:t xml:space="preserve">Carriage of Cargo </w:t>
      </w:r>
      <w:r w:rsidR="0085387F" w:rsidRPr="001A2B18">
        <w:rPr>
          <w:rFonts w:ascii="Bookman Old Style" w:hAnsi="Bookman Old Style"/>
          <w:b/>
        </w:rPr>
        <w:t>T</w:t>
      </w:r>
      <w:r w:rsidRPr="001A2B18">
        <w:rPr>
          <w:rFonts w:ascii="Bookman Old Style" w:hAnsi="Bookman Old Style"/>
          <w:b/>
        </w:rPr>
        <w:t xml:space="preserve">ransport </w:t>
      </w:r>
      <w:r w:rsidR="0085387F" w:rsidRPr="001A2B18">
        <w:rPr>
          <w:rFonts w:ascii="Bookman Old Style" w:hAnsi="Bookman Old Style"/>
          <w:b/>
        </w:rPr>
        <w:t>U</w:t>
      </w:r>
      <w:r w:rsidRPr="001A2B18">
        <w:rPr>
          <w:rFonts w:ascii="Bookman Old Style" w:hAnsi="Bookman Old Style"/>
          <w:b/>
        </w:rPr>
        <w:t>nits (</w:t>
      </w:r>
      <w:r w:rsidR="00F934EF" w:rsidRPr="001A2B18">
        <w:rPr>
          <w:rFonts w:ascii="Bookman Old Style" w:hAnsi="Bookman Old Style"/>
          <w:b/>
        </w:rPr>
        <w:t>containers)</w:t>
      </w:r>
    </w:p>
    <w:p w14:paraId="76654685" w14:textId="5E3E9185" w:rsidR="00DF0054" w:rsidRPr="00EA6663" w:rsidRDefault="0085387F" w:rsidP="0085387F">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(1) </w:t>
      </w:r>
      <w:r w:rsidR="00DF0054" w:rsidRPr="00EA6663">
        <w:rPr>
          <w:rFonts w:ascii="Bookman Old Style" w:hAnsi="Bookman Old Style"/>
          <w:color w:val="215E99" w:themeColor="text2" w:themeTint="BF"/>
        </w:rPr>
        <w:t xml:space="preserve">The Master of a ship shall </w:t>
      </w:r>
      <w:proofErr w:type="gramStart"/>
      <w:r w:rsidR="00DF0054" w:rsidRPr="00EA6663">
        <w:rPr>
          <w:rFonts w:ascii="Bookman Old Style" w:hAnsi="Bookman Old Style"/>
          <w:color w:val="215E99" w:themeColor="text2" w:themeTint="BF"/>
        </w:rPr>
        <w:t>ensures</w:t>
      </w:r>
      <w:proofErr w:type="gramEnd"/>
      <w:r w:rsidR="00DF0054" w:rsidRPr="00EA6663">
        <w:rPr>
          <w:rFonts w:ascii="Bookman Old Style" w:hAnsi="Bookman Old Style"/>
          <w:color w:val="215E99" w:themeColor="text2" w:themeTint="BF"/>
        </w:rPr>
        <w:t xml:space="preserve"> that new or existing containers loaded, stowed and carried for sea transportation have a</w:t>
      </w:r>
      <w:r w:rsidRPr="00EA6663">
        <w:rPr>
          <w:rFonts w:ascii="Bookman Old Style" w:hAnsi="Bookman Old Style"/>
          <w:color w:val="215E99" w:themeColor="text2" w:themeTint="BF"/>
        </w:rPr>
        <w:t xml:space="preserve"> </w:t>
      </w:r>
      <w:r w:rsidR="00DF0054" w:rsidRPr="00EA6663">
        <w:rPr>
          <w:rFonts w:ascii="Bookman Old Style" w:hAnsi="Bookman Old Style"/>
          <w:color w:val="215E99" w:themeColor="text2" w:themeTint="BF"/>
        </w:rPr>
        <w:t>safety approval plate conforming to the specifications set out in the appendix of the CSC</w:t>
      </w:r>
      <w:r w:rsidRPr="00EA6663">
        <w:rPr>
          <w:rFonts w:ascii="Bookman Old Style" w:hAnsi="Bookman Old Style"/>
          <w:color w:val="215E99" w:themeColor="text2" w:themeTint="BF"/>
        </w:rPr>
        <w:t>, 1972.</w:t>
      </w:r>
    </w:p>
    <w:p w14:paraId="264F5BD9" w14:textId="6EF3CE1E" w:rsidR="00DF0054" w:rsidRPr="00EA6663" w:rsidRDefault="0085387F" w:rsidP="0085387F">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(2) </w:t>
      </w:r>
      <w:r w:rsidR="00DF0054" w:rsidRPr="00EA6663">
        <w:rPr>
          <w:rFonts w:ascii="Bookman Old Style" w:hAnsi="Bookman Old Style"/>
          <w:color w:val="215E99" w:themeColor="text2" w:themeTint="BF"/>
        </w:rPr>
        <w:t xml:space="preserve">The Master of the ship shall ensure that every such container shipped on board has been provided with shipping documents prescribed in </w:t>
      </w:r>
      <w:r w:rsidRPr="00EA6663">
        <w:rPr>
          <w:rFonts w:ascii="Bookman Old Style" w:hAnsi="Bookman Old Style"/>
          <w:color w:val="215E99" w:themeColor="text2" w:themeTint="BF"/>
        </w:rPr>
        <w:t>R</w:t>
      </w:r>
      <w:r w:rsidR="00DF0054" w:rsidRPr="00EA6663">
        <w:rPr>
          <w:rFonts w:ascii="Bookman Old Style" w:hAnsi="Bookman Old Style"/>
          <w:color w:val="215E99" w:themeColor="text2" w:themeTint="BF"/>
        </w:rPr>
        <w:t xml:space="preserve">ules </w:t>
      </w:r>
      <w:r w:rsidRPr="00EA6663">
        <w:rPr>
          <w:rFonts w:ascii="Bookman Old Style" w:hAnsi="Bookman Old Style"/>
          <w:color w:val="215E99" w:themeColor="text2" w:themeTint="BF"/>
        </w:rPr>
        <w:t>6</w:t>
      </w:r>
      <w:r w:rsidR="00DF0054" w:rsidRPr="00EA6663">
        <w:rPr>
          <w:rFonts w:ascii="Bookman Old Style" w:hAnsi="Bookman Old Style"/>
          <w:color w:val="215E99" w:themeColor="text2" w:themeTint="BF"/>
        </w:rPr>
        <w:t xml:space="preserve"> and </w:t>
      </w:r>
      <w:r w:rsidRPr="00EA6663">
        <w:rPr>
          <w:rFonts w:ascii="Bookman Old Style" w:hAnsi="Bookman Old Style"/>
          <w:color w:val="215E99" w:themeColor="text2" w:themeTint="BF"/>
        </w:rPr>
        <w:t>9</w:t>
      </w:r>
      <w:r w:rsidR="00DF0054" w:rsidRPr="00EA6663">
        <w:rPr>
          <w:rFonts w:ascii="Bookman Old Style" w:hAnsi="Bookman Old Style"/>
          <w:color w:val="215E99" w:themeColor="text2" w:themeTint="BF"/>
        </w:rPr>
        <w:t>, relevant to such container.</w:t>
      </w:r>
    </w:p>
    <w:p w14:paraId="4D834D27" w14:textId="49684DF7" w:rsidR="00DF0054" w:rsidRPr="00EA6663" w:rsidRDefault="0085387F" w:rsidP="0085387F">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lastRenderedPageBreak/>
        <w:t xml:space="preserve">(3) </w:t>
      </w:r>
      <w:r w:rsidR="00DF0054" w:rsidRPr="00EA6663">
        <w:rPr>
          <w:rFonts w:ascii="Bookman Old Style" w:hAnsi="Bookman Old Style"/>
          <w:color w:val="215E99" w:themeColor="text2" w:themeTint="BF"/>
        </w:rPr>
        <w:t>It is the responsibility of the owner or Master of the ship to ensure that the compliance with the provisions of IMDG Code for the dangerous goods carried in the containers are verified.</w:t>
      </w:r>
    </w:p>
    <w:p w14:paraId="4133A949" w14:textId="76D07DFC" w:rsidR="00DF0054" w:rsidRPr="00EA6663" w:rsidRDefault="00945E0B" w:rsidP="00945E0B">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(4) </w:t>
      </w:r>
      <w:r w:rsidR="00DF0054" w:rsidRPr="00EA6663">
        <w:rPr>
          <w:rFonts w:ascii="Bookman Old Style" w:hAnsi="Bookman Old Style"/>
          <w:color w:val="215E99" w:themeColor="text2" w:themeTint="BF"/>
        </w:rPr>
        <w:t>The Master or the owner shall ensure that containers received on board are well maintained and relevant endorsement is highlighted on the safety approval plate.</w:t>
      </w:r>
    </w:p>
    <w:p w14:paraId="1C3F675F" w14:textId="3C831D17" w:rsidR="0085387F" w:rsidRPr="00EA6663" w:rsidRDefault="00945E0B" w:rsidP="00945E0B">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(5) </w:t>
      </w:r>
      <w:r w:rsidR="0085387F" w:rsidRPr="00EA6663">
        <w:rPr>
          <w:rFonts w:ascii="Bookman Old Style" w:hAnsi="Bookman Old Style"/>
          <w:color w:val="215E99" w:themeColor="text2" w:themeTint="BF"/>
        </w:rPr>
        <w:t xml:space="preserve">The master of a ship when loading Cargo Transport Units (CTU) on his ship, </w:t>
      </w:r>
      <w:r w:rsidRPr="00EA6663">
        <w:rPr>
          <w:rFonts w:ascii="Bookman Old Style" w:hAnsi="Bookman Old Style"/>
          <w:color w:val="215E99" w:themeColor="text2" w:themeTint="BF"/>
        </w:rPr>
        <w:t xml:space="preserve">shall ensure that shipper provides documents showing compliance with the Code of Practice for the Packing of Cargo Transport Units </w:t>
      </w:r>
      <w:r w:rsidR="0085387F" w:rsidRPr="00EA6663">
        <w:rPr>
          <w:rFonts w:ascii="Bookman Old Style" w:hAnsi="Bookman Old Style"/>
          <w:color w:val="215E99" w:themeColor="text2" w:themeTint="BF"/>
        </w:rPr>
        <w:t>with special reference to its packing.</w:t>
      </w:r>
    </w:p>
    <w:p w14:paraId="562B63F4" w14:textId="77777777" w:rsidR="0085387F" w:rsidRPr="001A2B18" w:rsidRDefault="0085387F" w:rsidP="00945E0B">
      <w:pPr>
        <w:snapToGrid w:val="0"/>
        <w:spacing w:before="120" w:after="120"/>
        <w:jc w:val="both"/>
        <w:rPr>
          <w:rFonts w:ascii="Bookman Old Style" w:hAnsi="Bookman Old Style"/>
        </w:rPr>
      </w:pPr>
    </w:p>
    <w:p w14:paraId="5E3D0F8A" w14:textId="679D8EC3" w:rsidR="00945E0B" w:rsidRPr="001A2B18" w:rsidRDefault="00DF0054" w:rsidP="00945E0B">
      <w:pPr>
        <w:pStyle w:val="ListParagraph"/>
        <w:numPr>
          <w:ilvl w:val="0"/>
          <w:numId w:val="51"/>
        </w:numPr>
        <w:snapToGrid w:val="0"/>
        <w:spacing w:before="120" w:after="120"/>
        <w:ind w:left="0" w:firstLine="0"/>
        <w:contextualSpacing w:val="0"/>
        <w:jc w:val="both"/>
        <w:rPr>
          <w:rFonts w:ascii="Bookman Old Style" w:hAnsi="Bookman Old Style"/>
          <w:b/>
        </w:rPr>
      </w:pPr>
      <w:r w:rsidRPr="001A2B18">
        <w:rPr>
          <w:rFonts w:ascii="Bookman Old Style" w:hAnsi="Bookman Old Style"/>
          <w:b/>
        </w:rPr>
        <w:t>Carriage of cargo on vessels registered under Part XIII of the Act</w:t>
      </w:r>
      <w:r w:rsidR="00945E0B" w:rsidRPr="001A2B18">
        <w:rPr>
          <w:rFonts w:ascii="Bookman Old Style" w:hAnsi="Bookman Old Style"/>
          <w:b/>
        </w:rPr>
        <w:t xml:space="preserve">: </w:t>
      </w:r>
    </w:p>
    <w:p w14:paraId="17BA5585" w14:textId="3CA7B1DB" w:rsidR="00DF0054" w:rsidRPr="00EA6663" w:rsidRDefault="00945E0B" w:rsidP="00945E0B">
      <w:pPr>
        <w:pStyle w:val="ListParagraph"/>
        <w:snapToGrid w:val="0"/>
        <w:spacing w:before="120" w:after="120"/>
        <w:ind w:left="0"/>
        <w:contextualSpacing w:val="0"/>
        <w:jc w:val="both"/>
        <w:rPr>
          <w:rFonts w:ascii="Bookman Old Style" w:hAnsi="Bookman Old Style"/>
          <w:b/>
          <w:color w:val="215E99" w:themeColor="text2" w:themeTint="BF"/>
        </w:rPr>
      </w:pPr>
      <w:r w:rsidRPr="00EA6663">
        <w:rPr>
          <w:rFonts w:ascii="Bookman Old Style" w:hAnsi="Bookman Old Style"/>
          <w:bCs/>
          <w:color w:val="215E99" w:themeColor="text2" w:themeTint="BF"/>
        </w:rPr>
        <w:t xml:space="preserve">(1) </w:t>
      </w:r>
      <w:r w:rsidR="00DF0054" w:rsidRPr="00EA6663">
        <w:rPr>
          <w:rFonts w:ascii="Bookman Old Style" w:hAnsi="Bookman Old Style"/>
          <w:color w:val="215E99" w:themeColor="text2" w:themeTint="BF"/>
        </w:rPr>
        <w:t xml:space="preserve">An Indian vessel registered under provisions of Part XIII of the Act, anywhere and any other non-conventional vessel of wooden construction, when in Indian waters shall not carry following cargoes- </w:t>
      </w:r>
    </w:p>
    <w:p w14:paraId="626F8257" w14:textId="77777777" w:rsidR="00DF0054" w:rsidRPr="00EA6663" w:rsidRDefault="00DF0054" w:rsidP="00DF0054">
      <w:pPr>
        <w:numPr>
          <w:ilvl w:val="0"/>
          <w:numId w:val="17"/>
        </w:num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Any cargo in bulk, which comes in direct contact with her wooden hull and does not allow access to repair/attend to wooden hull, as may be necessary in need; or</w:t>
      </w:r>
    </w:p>
    <w:p w14:paraId="6AE83831" w14:textId="77777777" w:rsidR="00DF0054" w:rsidRPr="00EA6663" w:rsidRDefault="00DF0054" w:rsidP="00DF0054">
      <w:pPr>
        <w:numPr>
          <w:ilvl w:val="0"/>
          <w:numId w:val="17"/>
        </w:num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Dangerous cargoes. </w:t>
      </w:r>
    </w:p>
    <w:p w14:paraId="1E10806D" w14:textId="1B70E6F4" w:rsidR="00DF0054" w:rsidRPr="00EA6663" w:rsidRDefault="00945E0B" w:rsidP="00945E0B">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(2) </w:t>
      </w:r>
      <w:r w:rsidR="00DF0054" w:rsidRPr="00EA6663">
        <w:rPr>
          <w:rFonts w:ascii="Bookman Old Style" w:hAnsi="Bookman Old Style"/>
          <w:color w:val="215E99" w:themeColor="text2" w:themeTint="BF"/>
        </w:rPr>
        <w:t>For purpose of promoting coastal trade, in India and with neighboring littoral countries and for providing such balance of trade between neighboring littoral countries or for supporting any other Government of India policy/initiative, the Director General may prescribe carriage of certain type of cargoes on board Indian vessels of wooden construction.</w:t>
      </w:r>
    </w:p>
    <w:p w14:paraId="68C97D82" w14:textId="77777777" w:rsidR="00945E0B" w:rsidRDefault="00945E0B" w:rsidP="007D6E38">
      <w:pPr>
        <w:snapToGrid w:val="0"/>
        <w:spacing w:before="120" w:after="120"/>
        <w:jc w:val="both"/>
        <w:rPr>
          <w:rFonts w:ascii="Bookman Old Style" w:hAnsi="Bookman Old Style"/>
        </w:rPr>
      </w:pPr>
    </w:p>
    <w:p w14:paraId="060904A4" w14:textId="77777777" w:rsidR="00510E68" w:rsidRDefault="00510E68" w:rsidP="007D6E38">
      <w:pPr>
        <w:snapToGrid w:val="0"/>
        <w:spacing w:before="120" w:after="120"/>
        <w:jc w:val="both"/>
        <w:rPr>
          <w:rFonts w:ascii="Bookman Old Style" w:hAnsi="Bookman Old Style"/>
        </w:rPr>
      </w:pPr>
    </w:p>
    <w:p w14:paraId="7E8908C2" w14:textId="5BC08344" w:rsidR="00510E68" w:rsidRPr="00510E68" w:rsidRDefault="00510E68" w:rsidP="007D6E38">
      <w:pPr>
        <w:snapToGrid w:val="0"/>
        <w:spacing w:before="120" w:after="120"/>
        <w:jc w:val="both"/>
        <w:rPr>
          <w:rFonts w:ascii="Bookman Old Style" w:hAnsi="Bookman Old Style"/>
          <w:b/>
        </w:rPr>
      </w:pPr>
      <w:r w:rsidRPr="001A2B18">
        <w:rPr>
          <w:rFonts w:ascii="Bookman Old Style" w:hAnsi="Bookman Old Style"/>
          <w:b/>
        </w:rPr>
        <w:t>Part I</w:t>
      </w:r>
      <w:r>
        <w:rPr>
          <w:rFonts w:ascii="Bookman Old Style" w:hAnsi="Bookman Old Style"/>
          <w:b/>
        </w:rPr>
        <w:t>V</w:t>
      </w:r>
      <w:r w:rsidRPr="001A2B18">
        <w:rPr>
          <w:rFonts w:ascii="Bookman Old Style" w:hAnsi="Bookman Old Style"/>
          <w:b/>
        </w:rPr>
        <w:t xml:space="preserve">: </w:t>
      </w:r>
      <w:r>
        <w:rPr>
          <w:rFonts w:ascii="Bookman Old Style" w:hAnsi="Bookman Old Style"/>
          <w:b/>
        </w:rPr>
        <w:t>Miscellaneous Provisions</w:t>
      </w:r>
      <w:r w:rsidRPr="001A2B18">
        <w:rPr>
          <w:rFonts w:ascii="Bookman Old Style" w:hAnsi="Bookman Old Style"/>
          <w:b/>
        </w:rPr>
        <w:t>:</w:t>
      </w:r>
    </w:p>
    <w:p w14:paraId="755D4D47" w14:textId="2A462C99" w:rsidR="006E3961" w:rsidRPr="00361310" w:rsidRDefault="00740E3F" w:rsidP="007D6E38">
      <w:pPr>
        <w:pStyle w:val="ListParagraph"/>
        <w:numPr>
          <w:ilvl w:val="0"/>
          <w:numId w:val="51"/>
        </w:numPr>
        <w:snapToGrid w:val="0"/>
        <w:spacing w:before="120" w:after="120"/>
        <w:ind w:left="0" w:firstLine="0"/>
        <w:jc w:val="both"/>
        <w:rPr>
          <w:rFonts w:ascii="Bookman Old Style" w:hAnsi="Bookman Old Style"/>
          <w:b/>
          <w:color w:val="000000" w:themeColor="text1"/>
        </w:rPr>
      </w:pPr>
      <w:r w:rsidRPr="00361310">
        <w:rPr>
          <w:rFonts w:ascii="Bookman Old Style" w:hAnsi="Bookman Old Style"/>
          <w:b/>
          <w:color w:val="000000" w:themeColor="text1"/>
        </w:rPr>
        <w:t>Carriage of</w:t>
      </w:r>
      <w:r w:rsidR="00DA1F25" w:rsidRPr="00361310">
        <w:rPr>
          <w:rFonts w:ascii="Bookman Old Style" w:hAnsi="Bookman Old Style"/>
          <w:b/>
          <w:color w:val="000000" w:themeColor="text1"/>
        </w:rPr>
        <w:t xml:space="preserve"> </w:t>
      </w:r>
      <w:r w:rsidR="006B21BA" w:rsidRPr="00361310">
        <w:rPr>
          <w:rFonts w:ascii="Bookman Old Style" w:hAnsi="Bookman Old Style"/>
          <w:b/>
          <w:color w:val="000000" w:themeColor="text1"/>
        </w:rPr>
        <w:t xml:space="preserve">relevant IMO </w:t>
      </w:r>
      <w:r w:rsidR="0072787B" w:rsidRPr="00361310">
        <w:rPr>
          <w:rFonts w:ascii="Bookman Old Style" w:hAnsi="Bookman Old Style"/>
          <w:b/>
          <w:color w:val="000000" w:themeColor="text1"/>
        </w:rPr>
        <w:t>publications</w:t>
      </w:r>
      <w:r w:rsidR="00DA1F25" w:rsidRPr="00361310">
        <w:rPr>
          <w:rFonts w:ascii="Bookman Old Style" w:hAnsi="Bookman Old Style"/>
          <w:b/>
          <w:color w:val="000000" w:themeColor="text1"/>
        </w:rPr>
        <w:t>:</w:t>
      </w:r>
      <w:r w:rsidR="00945E0B" w:rsidRPr="00361310">
        <w:rPr>
          <w:rFonts w:ascii="Bookman Old Style" w:hAnsi="Bookman Old Style"/>
          <w:bCs/>
          <w:color w:val="000000" w:themeColor="text1"/>
        </w:rPr>
        <w:t xml:space="preserve"> </w:t>
      </w:r>
      <w:r w:rsidR="00945E0B" w:rsidRPr="00361310">
        <w:rPr>
          <w:rFonts w:ascii="Bookman Old Style" w:hAnsi="Bookman Old Style"/>
          <w:bCs/>
          <w:color w:val="215E99" w:themeColor="text2" w:themeTint="BF"/>
        </w:rPr>
        <w:t xml:space="preserve">In addition to </w:t>
      </w:r>
      <w:r w:rsidR="00A46A46" w:rsidRPr="00361310">
        <w:rPr>
          <w:rFonts w:ascii="Bookman Old Style" w:hAnsi="Bookman Old Style"/>
          <w:bCs/>
          <w:color w:val="215E99" w:themeColor="text2" w:themeTint="BF"/>
        </w:rPr>
        <w:t>any other requirement, following publications</w:t>
      </w:r>
      <w:r w:rsidR="002062A8" w:rsidRPr="00361310">
        <w:rPr>
          <w:rFonts w:ascii="Bookman Old Style" w:hAnsi="Bookman Old Style"/>
          <w:bCs/>
          <w:color w:val="215E99" w:themeColor="text2" w:themeTint="BF"/>
        </w:rPr>
        <w:t xml:space="preserve"> are required</w:t>
      </w:r>
      <w:r w:rsidR="00A46A46" w:rsidRPr="00361310">
        <w:rPr>
          <w:rFonts w:ascii="Bookman Old Style" w:hAnsi="Bookman Old Style"/>
          <w:bCs/>
          <w:color w:val="215E99" w:themeColor="text2" w:themeTint="BF"/>
        </w:rPr>
        <w:t>:</w:t>
      </w:r>
    </w:p>
    <w:p w14:paraId="176A83D2" w14:textId="2BCBF04C" w:rsidR="006E3961" w:rsidRPr="00361310" w:rsidRDefault="00A46A46" w:rsidP="00A46A46">
      <w:pPr>
        <w:snapToGrid w:val="0"/>
        <w:spacing w:before="120" w:after="120"/>
        <w:jc w:val="both"/>
        <w:rPr>
          <w:rFonts w:ascii="Bookman Old Style" w:hAnsi="Bookman Old Style"/>
          <w:color w:val="215E99" w:themeColor="text2" w:themeTint="BF"/>
        </w:rPr>
      </w:pPr>
      <w:r w:rsidRPr="00361310">
        <w:rPr>
          <w:rFonts w:ascii="Bookman Old Style" w:hAnsi="Bookman Old Style"/>
          <w:color w:val="215E99" w:themeColor="text2" w:themeTint="BF"/>
        </w:rPr>
        <w:t xml:space="preserve">(1) </w:t>
      </w:r>
      <w:r w:rsidR="00AA3B11" w:rsidRPr="00361310">
        <w:rPr>
          <w:rFonts w:ascii="Bookman Old Style" w:hAnsi="Bookman Old Style"/>
          <w:color w:val="215E99" w:themeColor="text2" w:themeTint="BF"/>
        </w:rPr>
        <w:t xml:space="preserve">Every </w:t>
      </w:r>
      <w:r w:rsidR="00C95570" w:rsidRPr="00361310">
        <w:rPr>
          <w:rFonts w:ascii="Bookman Old Style" w:hAnsi="Bookman Old Style"/>
          <w:color w:val="215E99" w:themeColor="text2" w:themeTint="BF"/>
        </w:rPr>
        <w:t>ship</w:t>
      </w:r>
      <w:r w:rsidR="00AA3B11" w:rsidRPr="00361310">
        <w:rPr>
          <w:rFonts w:ascii="Bookman Old Style" w:hAnsi="Bookman Old Style"/>
          <w:color w:val="215E99" w:themeColor="text2" w:themeTint="BF"/>
        </w:rPr>
        <w:t xml:space="preserve"> shall </w:t>
      </w:r>
      <w:r w:rsidR="005D15DD" w:rsidRPr="00361310">
        <w:rPr>
          <w:rFonts w:ascii="Bookman Old Style" w:hAnsi="Bookman Old Style"/>
          <w:color w:val="215E99" w:themeColor="text2" w:themeTint="BF"/>
        </w:rPr>
        <w:t xml:space="preserve">be </w:t>
      </w:r>
      <w:r w:rsidR="00AA3B11" w:rsidRPr="00361310">
        <w:rPr>
          <w:rFonts w:ascii="Bookman Old Style" w:hAnsi="Bookman Old Style"/>
          <w:color w:val="215E99" w:themeColor="text2" w:themeTint="BF"/>
        </w:rPr>
        <w:t>provid</w:t>
      </w:r>
      <w:r w:rsidR="00C95570" w:rsidRPr="00361310">
        <w:rPr>
          <w:rFonts w:ascii="Bookman Old Style" w:hAnsi="Bookman Old Style"/>
          <w:color w:val="215E99" w:themeColor="text2" w:themeTint="BF"/>
        </w:rPr>
        <w:t>e</w:t>
      </w:r>
      <w:r w:rsidR="005D15DD" w:rsidRPr="00361310">
        <w:rPr>
          <w:rFonts w:ascii="Bookman Old Style" w:hAnsi="Bookman Old Style"/>
          <w:color w:val="215E99" w:themeColor="text2" w:themeTint="BF"/>
        </w:rPr>
        <w:t>d</w:t>
      </w:r>
      <w:r w:rsidR="00AA3B11" w:rsidRPr="00361310">
        <w:rPr>
          <w:rFonts w:ascii="Bookman Old Style" w:hAnsi="Bookman Old Style"/>
          <w:color w:val="215E99" w:themeColor="text2" w:themeTint="BF"/>
        </w:rPr>
        <w:t xml:space="preserve"> </w:t>
      </w:r>
      <w:r w:rsidR="005D15DD" w:rsidRPr="00361310">
        <w:rPr>
          <w:rFonts w:ascii="Bookman Old Style" w:hAnsi="Bookman Old Style"/>
          <w:color w:val="215E99" w:themeColor="text2" w:themeTint="BF"/>
        </w:rPr>
        <w:t>with a copy of SOLAS</w:t>
      </w:r>
      <w:r w:rsidRPr="00361310">
        <w:rPr>
          <w:rFonts w:ascii="Bookman Old Style" w:hAnsi="Bookman Old Style"/>
          <w:color w:val="215E99" w:themeColor="text2" w:themeTint="BF"/>
        </w:rPr>
        <w:t xml:space="preserve">, and </w:t>
      </w:r>
      <w:r w:rsidR="005D15DD" w:rsidRPr="00361310">
        <w:rPr>
          <w:rFonts w:ascii="Bookman Old Style" w:hAnsi="Bookman Old Style"/>
          <w:color w:val="215E99" w:themeColor="text2" w:themeTint="BF"/>
        </w:rPr>
        <w:t xml:space="preserve">MARPOL, as amended; and </w:t>
      </w:r>
      <w:r w:rsidR="00C95570" w:rsidRPr="00361310">
        <w:rPr>
          <w:rFonts w:ascii="Bookman Old Style" w:hAnsi="Bookman Old Style"/>
          <w:color w:val="215E99" w:themeColor="text2" w:themeTint="BF"/>
        </w:rPr>
        <w:t xml:space="preserve"> </w:t>
      </w:r>
    </w:p>
    <w:p w14:paraId="6C4FDFD6" w14:textId="1F4DFA13"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(2) </w:t>
      </w:r>
      <w:r w:rsidR="008A0CAB" w:rsidRPr="00EA6663">
        <w:rPr>
          <w:rFonts w:ascii="Bookman Old Style" w:hAnsi="Bookman Old Style"/>
          <w:color w:val="215E99" w:themeColor="text2" w:themeTint="BF"/>
        </w:rPr>
        <w:t xml:space="preserve">a copy each of appropriate codes referred </w:t>
      </w:r>
      <w:r w:rsidRPr="00EA6663">
        <w:rPr>
          <w:rFonts w:ascii="Bookman Old Style" w:hAnsi="Bookman Old Style"/>
          <w:color w:val="215E99" w:themeColor="text2" w:themeTint="BF"/>
        </w:rPr>
        <w:t xml:space="preserve">to </w:t>
      </w:r>
      <w:r w:rsidR="008A0CAB" w:rsidRPr="00EA6663">
        <w:rPr>
          <w:rFonts w:ascii="Bookman Old Style" w:hAnsi="Bookman Old Style"/>
          <w:color w:val="215E99" w:themeColor="text2" w:themeTint="BF"/>
        </w:rPr>
        <w:t xml:space="preserve">in these rules as applicable to specific cargo intended to be carried on board.  </w:t>
      </w:r>
    </w:p>
    <w:p w14:paraId="4F4AF8B2" w14:textId="01B51098"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(3) </w:t>
      </w:r>
      <w:r w:rsidR="0072787B" w:rsidRPr="00EA6663">
        <w:rPr>
          <w:rFonts w:ascii="Bookman Old Style" w:hAnsi="Bookman Old Style"/>
          <w:color w:val="215E99" w:themeColor="text2" w:themeTint="BF"/>
        </w:rPr>
        <w:t>All major or non</w:t>
      </w:r>
      <w:r w:rsidRPr="00EA6663">
        <w:rPr>
          <w:rFonts w:ascii="Bookman Old Style" w:hAnsi="Bookman Old Style"/>
          <w:color w:val="215E99" w:themeColor="text2" w:themeTint="BF"/>
        </w:rPr>
        <w:t>-</w:t>
      </w:r>
      <w:r w:rsidR="0072787B" w:rsidRPr="00EA6663">
        <w:rPr>
          <w:rFonts w:ascii="Bookman Old Style" w:hAnsi="Bookman Old Style"/>
          <w:color w:val="215E99" w:themeColor="text2" w:themeTint="BF"/>
        </w:rPr>
        <w:t>major ports on the coast of India shall at least maintain a copy of following publication namely:</w:t>
      </w:r>
    </w:p>
    <w:p w14:paraId="0A33AA58" w14:textId="09E3CB04"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(a) </w:t>
      </w:r>
      <w:r w:rsidR="006E3961" w:rsidRPr="00EA6663">
        <w:rPr>
          <w:rFonts w:ascii="Bookman Old Style" w:hAnsi="Bookman Old Style"/>
          <w:color w:val="215E99" w:themeColor="text2" w:themeTint="BF"/>
        </w:rPr>
        <w:t xml:space="preserve">copy of MARPOL 73/78 Convention as </w:t>
      </w:r>
      <w:proofErr w:type="gramStart"/>
      <w:r w:rsidR="006E3961" w:rsidRPr="00EA6663">
        <w:rPr>
          <w:rFonts w:ascii="Bookman Old Style" w:hAnsi="Bookman Old Style"/>
          <w:color w:val="215E99" w:themeColor="text2" w:themeTint="BF"/>
        </w:rPr>
        <w:t>amended;</w:t>
      </w:r>
      <w:proofErr w:type="gramEnd"/>
    </w:p>
    <w:p w14:paraId="7B1AB819" w14:textId="4C011269"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(b) </w:t>
      </w:r>
      <w:r w:rsidR="006E3961" w:rsidRPr="00EA6663">
        <w:rPr>
          <w:rFonts w:ascii="Bookman Old Style" w:hAnsi="Bookman Old Style"/>
          <w:color w:val="215E99" w:themeColor="text2" w:themeTint="BF"/>
        </w:rPr>
        <w:t xml:space="preserve">copy of Container Safety Convention 1972 as </w:t>
      </w:r>
      <w:proofErr w:type="gramStart"/>
      <w:r w:rsidR="006E3961" w:rsidRPr="00EA6663">
        <w:rPr>
          <w:rFonts w:ascii="Bookman Old Style" w:hAnsi="Bookman Old Style"/>
          <w:color w:val="215E99" w:themeColor="text2" w:themeTint="BF"/>
        </w:rPr>
        <w:t>amended;</w:t>
      </w:r>
      <w:proofErr w:type="gramEnd"/>
    </w:p>
    <w:p w14:paraId="4B1597E2" w14:textId="357236D0"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(c) </w:t>
      </w:r>
      <w:r w:rsidR="006E3961" w:rsidRPr="00EA6663">
        <w:rPr>
          <w:rFonts w:ascii="Bookman Old Style" w:hAnsi="Bookman Old Style"/>
          <w:color w:val="215E99" w:themeColor="text2" w:themeTint="BF"/>
        </w:rPr>
        <w:t xml:space="preserve">copy IMSBC Code as </w:t>
      </w:r>
      <w:proofErr w:type="gramStart"/>
      <w:r w:rsidR="006E3961" w:rsidRPr="00EA6663">
        <w:rPr>
          <w:rFonts w:ascii="Bookman Old Style" w:hAnsi="Bookman Old Style"/>
          <w:color w:val="215E99" w:themeColor="text2" w:themeTint="BF"/>
        </w:rPr>
        <w:t>amended;</w:t>
      </w:r>
      <w:proofErr w:type="gramEnd"/>
      <w:r w:rsidR="006E3961" w:rsidRPr="00EA6663">
        <w:rPr>
          <w:rFonts w:ascii="Bookman Old Style" w:hAnsi="Bookman Old Style"/>
          <w:color w:val="215E99" w:themeColor="text2" w:themeTint="BF"/>
        </w:rPr>
        <w:t xml:space="preserve"> </w:t>
      </w:r>
    </w:p>
    <w:p w14:paraId="16709C3C" w14:textId="1DA233C7"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(d) </w:t>
      </w:r>
      <w:r w:rsidR="006E3961" w:rsidRPr="00EA6663">
        <w:rPr>
          <w:rFonts w:ascii="Bookman Old Style" w:hAnsi="Bookman Old Style"/>
          <w:color w:val="215E99" w:themeColor="text2" w:themeTint="BF"/>
        </w:rPr>
        <w:t xml:space="preserve">copy of IMDG Code as </w:t>
      </w:r>
      <w:proofErr w:type="gramStart"/>
      <w:r w:rsidR="006E3961" w:rsidRPr="00EA6663">
        <w:rPr>
          <w:rFonts w:ascii="Bookman Old Style" w:hAnsi="Bookman Old Style"/>
          <w:color w:val="215E99" w:themeColor="text2" w:themeTint="BF"/>
        </w:rPr>
        <w:t>amended;</w:t>
      </w:r>
      <w:proofErr w:type="gramEnd"/>
    </w:p>
    <w:p w14:paraId="7926692F" w14:textId="0CA8B4F0"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lastRenderedPageBreak/>
        <w:t xml:space="preserve">(e) </w:t>
      </w:r>
      <w:r w:rsidR="006E3961" w:rsidRPr="00EA6663">
        <w:rPr>
          <w:rFonts w:ascii="Bookman Old Style" w:hAnsi="Bookman Old Style"/>
          <w:color w:val="215E99" w:themeColor="text2" w:themeTint="BF"/>
        </w:rPr>
        <w:t>copy each of relevant notice or recommendation of organization, applicable to cargo being handled in such port.</w:t>
      </w:r>
    </w:p>
    <w:p w14:paraId="519E238A" w14:textId="1B8767F4" w:rsidR="006E3961" w:rsidRPr="00EA6663" w:rsidRDefault="00A46A46" w:rsidP="00A46A46">
      <w:pPr>
        <w:snapToGrid w:val="0"/>
        <w:spacing w:before="120" w:after="120"/>
        <w:jc w:val="both"/>
        <w:rPr>
          <w:rFonts w:ascii="Bookman Old Style" w:hAnsi="Bookman Old Style"/>
          <w:color w:val="215E99" w:themeColor="text2" w:themeTint="BF"/>
        </w:rPr>
      </w:pPr>
      <w:r w:rsidRPr="00EA6663">
        <w:rPr>
          <w:rFonts w:ascii="Bookman Old Style" w:hAnsi="Bookman Old Style"/>
          <w:color w:val="215E99" w:themeColor="text2" w:themeTint="BF"/>
        </w:rPr>
        <w:t xml:space="preserve">(4) </w:t>
      </w:r>
      <w:r w:rsidR="006E3961" w:rsidRPr="00EA6663">
        <w:rPr>
          <w:rFonts w:ascii="Bookman Old Style" w:hAnsi="Bookman Old Style"/>
          <w:color w:val="215E99" w:themeColor="text2" w:themeTint="BF"/>
        </w:rPr>
        <w:t xml:space="preserve">Every other entity including the shipper, manufacture, Laboratory or test houses shall maintain at least a copy of publications specified in </w:t>
      </w:r>
      <w:r w:rsidRPr="00EA6663">
        <w:rPr>
          <w:rFonts w:ascii="Bookman Old Style" w:hAnsi="Bookman Old Style"/>
          <w:color w:val="215E99" w:themeColor="text2" w:themeTint="BF"/>
        </w:rPr>
        <w:t>Rule</w:t>
      </w:r>
      <w:r w:rsidR="0036782D" w:rsidRPr="00EA6663">
        <w:rPr>
          <w:rFonts w:ascii="Bookman Old Style" w:hAnsi="Bookman Old Style"/>
          <w:color w:val="215E99" w:themeColor="text2" w:themeTint="BF"/>
        </w:rPr>
        <w:t xml:space="preserve"> 19</w:t>
      </w:r>
      <w:r w:rsidRPr="00EA6663">
        <w:rPr>
          <w:rFonts w:ascii="Bookman Old Style" w:hAnsi="Bookman Old Style"/>
          <w:color w:val="215E99" w:themeColor="text2" w:themeTint="BF"/>
        </w:rPr>
        <w:t>(3)</w:t>
      </w:r>
      <w:r w:rsidR="006E3961" w:rsidRPr="00EA6663">
        <w:rPr>
          <w:rFonts w:ascii="Bookman Old Style" w:hAnsi="Bookman Old Style"/>
          <w:color w:val="215E99" w:themeColor="text2" w:themeTint="BF"/>
        </w:rPr>
        <w:t>, applicable to nature of trade or services.</w:t>
      </w:r>
    </w:p>
    <w:p w14:paraId="5722F593" w14:textId="77777777" w:rsidR="003F1082" w:rsidRPr="001A2B18" w:rsidRDefault="003F1082" w:rsidP="007D6E38">
      <w:pPr>
        <w:snapToGrid w:val="0"/>
        <w:spacing w:before="120" w:after="120"/>
        <w:ind w:left="720"/>
        <w:jc w:val="both"/>
        <w:rPr>
          <w:rFonts w:ascii="Bookman Old Style" w:hAnsi="Bookman Old Style"/>
        </w:rPr>
      </w:pPr>
    </w:p>
    <w:p w14:paraId="49172ABC" w14:textId="77777777" w:rsidR="00A46A46" w:rsidRPr="001A2B18" w:rsidRDefault="00A46A46" w:rsidP="007D6E38">
      <w:pPr>
        <w:snapToGrid w:val="0"/>
        <w:spacing w:before="120" w:after="120"/>
        <w:jc w:val="both"/>
        <w:rPr>
          <w:rFonts w:ascii="Bookman Old Style" w:hAnsi="Bookman Old Style"/>
        </w:rPr>
      </w:pPr>
    </w:p>
    <w:p w14:paraId="1480241B" w14:textId="16932280" w:rsidR="00B80361" w:rsidRDefault="00A46A46" w:rsidP="00B80361">
      <w:pPr>
        <w:pStyle w:val="ListParagraph"/>
        <w:numPr>
          <w:ilvl w:val="0"/>
          <w:numId w:val="51"/>
        </w:numPr>
        <w:snapToGrid w:val="0"/>
        <w:spacing w:before="120" w:after="120"/>
        <w:ind w:left="0" w:firstLine="0"/>
        <w:jc w:val="both"/>
        <w:rPr>
          <w:rFonts w:ascii="Bookman Old Style" w:hAnsi="Bookman Old Style"/>
          <w:b/>
          <w:color w:val="000000"/>
        </w:rPr>
      </w:pPr>
      <w:r w:rsidRPr="001A2B18">
        <w:rPr>
          <w:rFonts w:ascii="Bookman Old Style" w:hAnsi="Bookman Old Style"/>
          <w:b/>
          <w:color w:val="000000"/>
        </w:rPr>
        <w:t xml:space="preserve">Inspection, survey and certification fee: </w:t>
      </w:r>
      <w:r w:rsidRPr="001A2B18">
        <w:rPr>
          <w:rFonts w:ascii="Bookman Old Style" w:hAnsi="Bookman Old Style"/>
          <w:color w:val="000000"/>
        </w:rPr>
        <w:t xml:space="preserve">Fee for departmental surveyors shall be levied as per schedule of fee prescribed by the Director General of </w:t>
      </w:r>
      <w:r w:rsidR="00781207">
        <w:rPr>
          <w:rFonts w:ascii="Bookman Old Style" w:hAnsi="Bookman Old Style"/>
          <w:color w:val="000000"/>
        </w:rPr>
        <w:t xml:space="preserve">Maritime Administration </w:t>
      </w:r>
      <w:r w:rsidRPr="001A2B18">
        <w:rPr>
          <w:rFonts w:ascii="Bookman Old Style" w:hAnsi="Bookman Old Style"/>
          <w:color w:val="000000"/>
        </w:rPr>
        <w:t xml:space="preserve">from time to time. </w:t>
      </w:r>
    </w:p>
    <w:p w14:paraId="7B0911B9" w14:textId="77777777" w:rsidR="00B80361" w:rsidRDefault="00B80361" w:rsidP="00B80361">
      <w:pPr>
        <w:snapToGrid w:val="0"/>
        <w:spacing w:before="120" w:after="120"/>
        <w:jc w:val="both"/>
        <w:rPr>
          <w:rFonts w:ascii="Bookman Old Style" w:hAnsi="Bookman Old Style"/>
          <w:bCs/>
          <w:i/>
          <w:iCs/>
          <w:color w:val="000000"/>
          <w:highlight w:val="yellow"/>
        </w:rPr>
      </w:pPr>
    </w:p>
    <w:p w14:paraId="460F6EE1" w14:textId="47A40964" w:rsidR="00A46A46" w:rsidRPr="00B80361" w:rsidRDefault="00B80361" w:rsidP="00B80361">
      <w:pPr>
        <w:snapToGrid w:val="0"/>
        <w:spacing w:before="120" w:after="120"/>
        <w:jc w:val="both"/>
        <w:rPr>
          <w:rFonts w:ascii="Bookman Old Style" w:hAnsi="Bookman Old Style"/>
          <w:bCs/>
          <w:i/>
          <w:iCs/>
          <w:color w:val="000000"/>
          <w:highlight w:val="yellow"/>
        </w:rPr>
      </w:pPr>
      <w:r w:rsidRPr="00B80361">
        <w:rPr>
          <w:rFonts w:ascii="Bookman Old Style" w:hAnsi="Bookman Old Style"/>
          <w:bCs/>
          <w:i/>
          <w:iCs/>
          <w:color w:val="000000"/>
          <w:highlight w:val="yellow"/>
        </w:rPr>
        <w:t>Existing fee structure of subject</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122"/>
        <w:gridCol w:w="1984"/>
        <w:gridCol w:w="3604"/>
      </w:tblGrid>
      <w:tr w:rsidR="00781207" w:rsidRPr="00B80361" w14:paraId="242BA9C5" w14:textId="77777777" w:rsidTr="00B80361">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14:paraId="5326F15D" w14:textId="72C6493C" w:rsidR="00781207" w:rsidRPr="00B80361" w:rsidRDefault="00781207" w:rsidP="00204BCE">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1</w:t>
            </w:r>
          </w:p>
        </w:tc>
        <w:tc>
          <w:tcPr>
            <w:tcW w:w="2122" w:type="dxa"/>
            <w:tcBorders>
              <w:top w:val="single" w:sz="4" w:space="0" w:color="auto"/>
              <w:left w:val="single" w:sz="4" w:space="0" w:color="auto"/>
              <w:bottom w:val="single" w:sz="4" w:space="0" w:color="auto"/>
              <w:right w:val="single" w:sz="4" w:space="0" w:color="auto"/>
            </w:tcBorders>
          </w:tcPr>
          <w:p w14:paraId="18065F2B" w14:textId="77777777" w:rsidR="00781207" w:rsidRPr="00B80361" w:rsidRDefault="00781207" w:rsidP="00781207">
            <w:pPr>
              <w:rPr>
                <w:rFonts w:ascii="Tahoma" w:hAnsi="Tahoma" w:cs="Tahoma"/>
                <w:i/>
                <w:iCs/>
                <w:strike/>
                <w:sz w:val="20"/>
                <w:szCs w:val="20"/>
                <w:highlight w:val="yellow"/>
              </w:rPr>
            </w:pPr>
            <w:r w:rsidRPr="00B80361">
              <w:rPr>
                <w:rFonts w:ascii="Tahoma" w:hAnsi="Tahoma" w:cs="Tahoma"/>
                <w:i/>
                <w:iCs/>
                <w:sz w:val="20"/>
                <w:szCs w:val="20"/>
                <w:highlight w:val="yellow"/>
              </w:rPr>
              <w:t xml:space="preserve">Grain Stability booklet </w:t>
            </w:r>
          </w:p>
        </w:tc>
        <w:tc>
          <w:tcPr>
            <w:tcW w:w="1984" w:type="dxa"/>
            <w:tcBorders>
              <w:top w:val="single" w:sz="4" w:space="0" w:color="auto"/>
              <w:left w:val="single" w:sz="4" w:space="0" w:color="auto"/>
              <w:bottom w:val="single" w:sz="4" w:space="0" w:color="auto"/>
              <w:right w:val="single" w:sz="4" w:space="0" w:color="auto"/>
            </w:tcBorders>
          </w:tcPr>
          <w:p w14:paraId="477DBB0E" w14:textId="77777777" w:rsidR="00781207" w:rsidRPr="00B80361" w:rsidRDefault="00781207" w:rsidP="00204BCE">
            <w:pPr>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Vessels up to 5000 GT</w:t>
            </w:r>
          </w:p>
          <w:p w14:paraId="3D7DD809" w14:textId="77777777" w:rsidR="00781207" w:rsidRPr="00B80361" w:rsidRDefault="00781207" w:rsidP="00204BCE">
            <w:pPr>
              <w:rPr>
                <w:rFonts w:ascii="Tahoma" w:hAnsi="Tahoma" w:cs="Tahoma"/>
                <w:i/>
                <w:iCs/>
                <w:sz w:val="20"/>
                <w:szCs w:val="20"/>
                <w:highlight w:val="yellow"/>
              </w:rPr>
            </w:pPr>
          </w:p>
          <w:p w14:paraId="1FD5A3D8" w14:textId="77777777" w:rsidR="00781207" w:rsidRPr="00B80361" w:rsidRDefault="00781207" w:rsidP="00204BCE">
            <w:pPr>
              <w:rPr>
                <w:rFonts w:ascii="Tahoma" w:hAnsi="Tahoma" w:cs="Tahoma"/>
                <w:i/>
                <w:iCs/>
                <w:sz w:val="20"/>
                <w:szCs w:val="20"/>
                <w:highlight w:val="yellow"/>
              </w:rPr>
            </w:pPr>
            <w:r w:rsidRPr="00B80361">
              <w:rPr>
                <w:rFonts w:ascii="Tahoma" w:hAnsi="Tahoma" w:cs="Tahoma"/>
                <w:i/>
                <w:iCs/>
                <w:sz w:val="20"/>
                <w:szCs w:val="20"/>
                <w:highlight w:val="yellow"/>
              </w:rPr>
              <w:t>(ii) Above 5000 GT</w:t>
            </w:r>
          </w:p>
        </w:tc>
        <w:tc>
          <w:tcPr>
            <w:tcW w:w="3604" w:type="dxa"/>
            <w:tcBorders>
              <w:top w:val="single" w:sz="4" w:space="0" w:color="auto"/>
              <w:left w:val="single" w:sz="4" w:space="0" w:color="auto"/>
              <w:bottom w:val="single" w:sz="4" w:space="0" w:color="auto"/>
              <w:right w:val="single" w:sz="4" w:space="0" w:color="auto"/>
            </w:tcBorders>
          </w:tcPr>
          <w:p w14:paraId="61FB4F63" w14:textId="502988E2" w:rsidR="00781207" w:rsidRPr="00B80361" w:rsidRDefault="00781207" w:rsidP="00204BCE">
            <w:pPr>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Rs.40,000/-</w:t>
            </w:r>
          </w:p>
          <w:p w14:paraId="01217278" w14:textId="77777777" w:rsidR="00781207" w:rsidRPr="00B80361" w:rsidRDefault="00781207" w:rsidP="00204BCE">
            <w:pPr>
              <w:rPr>
                <w:rFonts w:ascii="Tahoma" w:hAnsi="Tahoma" w:cs="Tahoma"/>
                <w:i/>
                <w:iCs/>
                <w:sz w:val="20"/>
                <w:szCs w:val="20"/>
                <w:highlight w:val="yellow"/>
              </w:rPr>
            </w:pPr>
          </w:p>
          <w:p w14:paraId="7B310F7A" w14:textId="221B66FA" w:rsidR="00781207" w:rsidRPr="00B80361" w:rsidRDefault="00781207" w:rsidP="00204BCE">
            <w:pPr>
              <w:jc w:val="both"/>
              <w:rPr>
                <w:rFonts w:ascii="Tahoma" w:hAnsi="Tahoma" w:cs="Tahoma"/>
                <w:i/>
                <w:iCs/>
                <w:sz w:val="20"/>
                <w:szCs w:val="20"/>
                <w:highlight w:val="yellow"/>
              </w:rPr>
            </w:pPr>
            <w:r w:rsidRPr="00B80361">
              <w:rPr>
                <w:rFonts w:ascii="Tahoma" w:hAnsi="Tahoma" w:cs="Tahoma"/>
                <w:i/>
                <w:iCs/>
                <w:sz w:val="20"/>
                <w:szCs w:val="20"/>
                <w:highlight w:val="yellow"/>
              </w:rPr>
              <w:t>(ii) Rs.40,000/- plus Rs.500/- for every additional 100 GT subject to a maximum of Rs.80,000/-</w:t>
            </w:r>
          </w:p>
        </w:tc>
      </w:tr>
      <w:tr w:rsidR="00781207" w:rsidRPr="00B80361" w14:paraId="68BB75ED" w14:textId="77777777" w:rsidTr="00B80361">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14:paraId="3A1C9F8B" w14:textId="0262ACF2" w:rsidR="00781207" w:rsidRPr="00B80361" w:rsidRDefault="00781207" w:rsidP="00204BCE">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2</w:t>
            </w:r>
          </w:p>
        </w:tc>
        <w:tc>
          <w:tcPr>
            <w:tcW w:w="2122" w:type="dxa"/>
            <w:tcBorders>
              <w:top w:val="single" w:sz="4" w:space="0" w:color="auto"/>
              <w:left w:val="single" w:sz="4" w:space="0" w:color="auto"/>
              <w:bottom w:val="single" w:sz="4" w:space="0" w:color="auto"/>
              <w:right w:val="single" w:sz="4" w:space="0" w:color="auto"/>
            </w:tcBorders>
          </w:tcPr>
          <w:p w14:paraId="77215B14" w14:textId="77777777" w:rsidR="00781207" w:rsidRPr="00B80361" w:rsidRDefault="00781207" w:rsidP="00781207">
            <w:pPr>
              <w:rPr>
                <w:rFonts w:ascii="Tahoma" w:hAnsi="Tahoma" w:cs="Tahoma"/>
                <w:i/>
                <w:iCs/>
                <w:sz w:val="20"/>
                <w:szCs w:val="20"/>
                <w:highlight w:val="yellow"/>
              </w:rPr>
            </w:pPr>
            <w:r w:rsidRPr="00B80361">
              <w:rPr>
                <w:rFonts w:ascii="Tahoma" w:hAnsi="Tahoma" w:cs="Tahoma"/>
                <w:i/>
                <w:iCs/>
                <w:sz w:val="20"/>
                <w:szCs w:val="20"/>
                <w:highlight w:val="yellow"/>
              </w:rPr>
              <w:t>Grain Stability booklet with untrimmed End Calculation.</w:t>
            </w:r>
          </w:p>
        </w:tc>
        <w:tc>
          <w:tcPr>
            <w:tcW w:w="1984" w:type="dxa"/>
            <w:tcBorders>
              <w:top w:val="single" w:sz="4" w:space="0" w:color="auto"/>
              <w:left w:val="single" w:sz="4" w:space="0" w:color="auto"/>
              <w:bottom w:val="single" w:sz="4" w:space="0" w:color="auto"/>
              <w:right w:val="single" w:sz="4" w:space="0" w:color="auto"/>
            </w:tcBorders>
          </w:tcPr>
          <w:p w14:paraId="55B00853" w14:textId="77777777" w:rsidR="00781207" w:rsidRPr="00B80361" w:rsidRDefault="00781207" w:rsidP="00204BCE">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5D3C2DF2" w14:textId="77777777" w:rsidR="00781207" w:rsidRPr="00B80361" w:rsidRDefault="00781207" w:rsidP="00204BCE">
            <w:pPr>
              <w:jc w:val="both"/>
              <w:rPr>
                <w:rFonts w:ascii="Tahoma" w:hAnsi="Tahoma" w:cs="Tahoma"/>
                <w:i/>
                <w:iCs/>
                <w:sz w:val="20"/>
                <w:szCs w:val="20"/>
                <w:highlight w:val="yellow"/>
              </w:rPr>
            </w:pPr>
            <w:r w:rsidRPr="00B80361">
              <w:rPr>
                <w:rFonts w:ascii="Tahoma" w:hAnsi="Tahoma" w:cs="Tahoma"/>
                <w:i/>
                <w:iCs/>
                <w:sz w:val="20"/>
                <w:szCs w:val="20"/>
                <w:highlight w:val="yellow"/>
              </w:rPr>
              <w:t>Rs.20,000/- extra</w:t>
            </w:r>
          </w:p>
        </w:tc>
      </w:tr>
      <w:tr w:rsidR="00781207" w:rsidRPr="00B80361" w14:paraId="19E7C1B6" w14:textId="77777777" w:rsidTr="00B80361">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14:paraId="7AA7FD34" w14:textId="1156207D" w:rsidR="00781207" w:rsidRPr="00B80361" w:rsidRDefault="00781207" w:rsidP="00204BCE">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3</w:t>
            </w:r>
          </w:p>
        </w:tc>
        <w:tc>
          <w:tcPr>
            <w:tcW w:w="2122" w:type="dxa"/>
            <w:tcBorders>
              <w:top w:val="single" w:sz="4" w:space="0" w:color="auto"/>
              <w:left w:val="single" w:sz="4" w:space="0" w:color="auto"/>
              <w:bottom w:val="single" w:sz="4" w:space="0" w:color="auto"/>
              <w:right w:val="single" w:sz="4" w:space="0" w:color="auto"/>
            </w:tcBorders>
          </w:tcPr>
          <w:p w14:paraId="19A9BA9D" w14:textId="77777777" w:rsidR="00781207" w:rsidRPr="00B80361" w:rsidRDefault="00781207" w:rsidP="00781207">
            <w:pPr>
              <w:rPr>
                <w:rFonts w:ascii="Tahoma" w:hAnsi="Tahoma" w:cs="Tahoma"/>
                <w:i/>
                <w:iCs/>
                <w:sz w:val="20"/>
                <w:szCs w:val="20"/>
                <w:highlight w:val="yellow"/>
              </w:rPr>
            </w:pPr>
            <w:r w:rsidRPr="00B80361">
              <w:rPr>
                <w:rFonts w:ascii="Tahoma" w:hAnsi="Tahoma" w:cs="Tahoma"/>
                <w:i/>
                <w:iCs/>
                <w:sz w:val="20"/>
                <w:szCs w:val="20"/>
                <w:highlight w:val="yellow"/>
              </w:rPr>
              <w:t>Approval of Grain Fittings</w:t>
            </w:r>
          </w:p>
        </w:tc>
        <w:tc>
          <w:tcPr>
            <w:tcW w:w="1984" w:type="dxa"/>
            <w:tcBorders>
              <w:top w:val="single" w:sz="4" w:space="0" w:color="auto"/>
              <w:left w:val="single" w:sz="4" w:space="0" w:color="auto"/>
              <w:bottom w:val="single" w:sz="4" w:space="0" w:color="auto"/>
              <w:right w:val="single" w:sz="4" w:space="0" w:color="auto"/>
            </w:tcBorders>
          </w:tcPr>
          <w:p w14:paraId="1F68E324" w14:textId="77777777" w:rsidR="00781207" w:rsidRPr="00B80361" w:rsidRDefault="00781207" w:rsidP="00204BCE">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15DEA835" w14:textId="77777777" w:rsidR="00781207" w:rsidRPr="00B80361" w:rsidRDefault="00781207" w:rsidP="00204BCE">
            <w:pPr>
              <w:jc w:val="both"/>
              <w:rPr>
                <w:rFonts w:ascii="Tahoma" w:hAnsi="Tahoma" w:cs="Tahoma"/>
                <w:i/>
                <w:iCs/>
                <w:sz w:val="20"/>
                <w:szCs w:val="20"/>
                <w:highlight w:val="yellow"/>
              </w:rPr>
            </w:pPr>
            <w:r w:rsidRPr="00B80361">
              <w:rPr>
                <w:rFonts w:ascii="Tahoma" w:hAnsi="Tahoma" w:cs="Tahoma"/>
                <w:i/>
                <w:iCs/>
                <w:sz w:val="20"/>
                <w:szCs w:val="20"/>
                <w:highlight w:val="yellow"/>
              </w:rPr>
              <w:t>Rs.15,000/- extra</w:t>
            </w:r>
          </w:p>
        </w:tc>
      </w:tr>
      <w:tr w:rsidR="00781207" w:rsidRPr="00B80361" w14:paraId="7BE9C9D1" w14:textId="77777777" w:rsidTr="00B80361">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14:paraId="6AFF2F64" w14:textId="5A5197A1" w:rsidR="00781207" w:rsidRPr="00B80361" w:rsidRDefault="00781207" w:rsidP="00204BCE">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4</w:t>
            </w:r>
          </w:p>
        </w:tc>
        <w:tc>
          <w:tcPr>
            <w:tcW w:w="2122" w:type="dxa"/>
            <w:tcBorders>
              <w:top w:val="single" w:sz="4" w:space="0" w:color="auto"/>
              <w:left w:val="single" w:sz="4" w:space="0" w:color="auto"/>
              <w:bottom w:val="single" w:sz="4" w:space="0" w:color="auto"/>
              <w:right w:val="single" w:sz="4" w:space="0" w:color="auto"/>
            </w:tcBorders>
          </w:tcPr>
          <w:p w14:paraId="5ACA0C15" w14:textId="43AEDEFB" w:rsidR="00781207" w:rsidRPr="00B80361" w:rsidRDefault="00781207" w:rsidP="00781207">
            <w:pPr>
              <w:rPr>
                <w:rFonts w:ascii="Tahoma" w:hAnsi="Tahoma" w:cs="Tahoma"/>
                <w:i/>
                <w:iCs/>
                <w:sz w:val="20"/>
                <w:szCs w:val="20"/>
                <w:highlight w:val="yellow"/>
              </w:rPr>
            </w:pPr>
            <w:r w:rsidRPr="00B80361">
              <w:rPr>
                <w:rFonts w:ascii="Tahoma" w:hAnsi="Tahoma" w:cs="Tahoma"/>
                <w:i/>
                <w:iCs/>
                <w:sz w:val="20"/>
                <w:szCs w:val="20"/>
                <w:highlight w:val="yellow"/>
              </w:rPr>
              <w:t>Document of authorization</w:t>
            </w:r>
          </w:p>
        </w:tc>
        <w:tc>
          <w:tcPr>
            <w:tcW w:w="1984" w:type="dxa"/>
            <w:tcBorders>
              <w:top w:val="single" w:sz="4" w:space="0" w:color="auto"/>
              <w:left w:val="single" w:sz="4" w:space="0" w:color="auto"/>
              <w:bottom w:val="single" w:sz="4" w:space="0" w:color="auto"/>
              <w:right w:val="single" w:sz="4" w:space="0" w:color="auto"/>
            </w:tcBorders>
          </w:tcPr>
          <w:p w14:paraId="143E6C1B" w14:textId="77777777" w:rsidR="00781207" w:rsidRPr="00B80361" w:rsidRDefault="00781207" w:rsidP="00204BCE">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39C5FF8E" w14:textId="77777777" w:rsidR="00781207" w:rsidRPr="00B80361" w:rsidRDefault="00781207" w:rsidP="00204BCE">
            <w:pPr>
              <w:jc w:val="both"/>
              <w:rPr>
                <w:rFonts w:ascii="Tahoma" w:hAnsi="Tahoma" w:cs="Tahoma"/>
                <w:i/>
                <w:iCs/>
                <w:sz w:val="20"/>
                <w:szCs w:val="20"/>
                <w:highlight w:val="yellow"/>
              </w:rPr>
            </w:pPr>
            <w:r w:rsidRPr="00B80361">
              <w:rPr>
                <w:rFonts w:ascii="Tahoma" w:hAnsi="Tahoma" w:cs="Tahoma"/>
                <w:i/>
                <w:iCs/>
                <w:sz w:val="20"/>
                <w:szCs w:val="20"/>
                <w:highlight w:val="yellow"/>
              </w:rPr>
              <w:t>Rs.15,000/- extra</w:t>
            </w:r>
          </w:p>
        </w:tc>
      </w:tr>
      <w:tr w:rsidR="00781207" w:rsidRPr="00B80361" w14:paraId="4CDFAB2E" w14:textId="77777777" w:rsidTr="00B80361">
        <w:trPr>
          <w:cantSplit/>
          <w:trHeight w:val="377"/>
          <w:jc w:val="center"/>
        </w:trPr>
        <w:tc>
          <w:tcPr>
            <w:tcW w:w="992" w:type="dxa"/>
            <w:tcBorders>
              <w:top w:val="single" w:sz="4" w:space="0" w:color="auto"/>
              <w:left w:val="single" w:sz="4" w:space="0" w:color="auto"/>
              <w:bottom w:val="single" w:sz="4" w:space="0" w:color="auto"/>
              <w:right w:val="single" w:sz="4" w:space="0" w:color="auto"/>
            </w:tcBorders>
          </w:tcPr>
          <w:p w14:paraId="52F051F5" w14:textId="29DE39AE" w:rsidR="00781207" w:rsidRPr="00B80361" w:rsidRDefault="00781207" w:rsidP="00204BCE">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5</w:t>
            </w:r>
          </w:p>
        </w:tc>
        <w:tc>
          <w:tcPr>
            <w:tcW w:w="2122" w:type="dxa"/>
            <w:tcBorders>
              <w:top w:val="single" w:sz="4" w:space="0" w:color="auto"/>
              <w:left w:val="single" w:sz="4" w:space="0" w:color="auto"/>
              <w:bottom w:val="single" w:sz="4" w:space="0" w:color="auto"/>
              <w:right w:val="single" w:sz="4" w:space="0" w:color="auto"/>
            </w:tcBorders>
          </w:tcPr>
          <w:p w14:paraId="68850795" w14:textId="77777777" w:rsidR="00781207" w:rsidRPr="00B80361" w:rsidRDefault="00781207" w:rsidP="00781207">
            <w:pPr>
              <w:rPr>
                <w:rFonts w:ascii="Tahoma" w:hAnsi="Tahoma" w:cs="Tahoma"/>
                <w:i/>
                <w:iCs/>
                <w:sz w:val="20"/>
                <w:szCs w:val="20"/>
                <w:highlight w:val="yellow"/>
              </w:rPr>
            </w:pPr>
            <w:r w:rsidRPr="00B80361">
              <w:rPr>
                <w:rFonts w:ascii="Tahoma" w:hAnsi="Tahoma" w:cs="Tahoma"/>
                <w:i/>
                <w:iCs/>
                <w:sz w:val="20"/>
                <w:szCs w:val="20"/>
                <w:highlight w:val="yellow"/>
              </w:rPr>
              <w:t>Cargo Securing Manual</w:t>
            </w:r>
          </w:p>
        </w:tc>
        <w:tc>
          <w:tcPr>
            <w:tcW w:w="1984" w:type="dxa"/>
            <w:tcBorders>
              <w:top w:val="single" w:sz="4" w:space="0" w:color="auto"/>
              <w:left w:val="single" w:sz="4" w:space="0" w:color="auto"/>
              <w:bottom w:val="single" w:sz="4" w:space="0" w:color="auto"/>
              <w:right w:val="single" w:sz="4" w:space="0" w:color="auto"/>
            </w:tcBorders>
          </w:tcPr>
          <w:p w14:paraId="5280C854" w14:textId="77777777" w:rsidR="00781207" w:rsidRPr="00B80361" w:rsidRDefault="00781207" w:rsidP="00204BCE">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31921941" w14:textId="77777777" w:rsidR="00781207" w:rsidRPr="00B80361" w:rsidRDefault="00781207" w:rsidP="00204BCE">
            <w:pPr>
              <w:jc w:val="both"/>
              <w:rPr>
                <w:rFonts w:ascii="Tahoma" w:hAnsi="Tahoma" w:cs="Tahoma"/>
                <w:i/>
                <w:iCs/>
                <w:sz w:val="20"/>
                <w:szCs w:val="20"/>
                <w:highlight w:val="yellow"/>
              </w:rPr>
            </w:pPr>
            <w:r w:rsidRPr="00B80361">
              <w:rPr>
                <w:rFonts w:ascii="Tahoma" w:hAnsi="Tahoma" w:cs="Tahoma"/>
                <w:i/>
                <w:iCs/>
                <w:sz w:val="20"/>
                <w:szCs w:val="20"/>
                <w:highlight w:val="yellow"/>
              </w:rPr>
              <w:t>Rs.25,000/- extra</w:t>
            </w:r>
          </w:p>
        </w:tc>
      </w:tr>
      <w:tr w:rsidR="00B80361" w:rsidRPr="00B80361" w14:paraId="12CE1248" w14:textId="77777777" w:rsidTr="00B80361">
        <w:trPr>
          <w:cantSplit/>
          <w:trHeight w:val="269"/>
          <w:jc w:val="center"/>
        </w:trPr>
        <w:tc>
          <w:tcPr>
            <w:tcW w:w="992" w:type="dxa"/>
            <w:tcBorders>
              <w:top w:val="single" w:sz="4" w:space="0" w:color="auto"/>
              <w:left w:val="single" w:sz="4" w:space="0" w:color="auto"/>
              <w:bottom w:val="single" w:sz="4" w:space="0" w:color="auto"/>
              <w:right w:val="single" w:sz="4" w:space="0" w:color="auto"/>
            </w:tcBorders>
          </w:tcPr>
          <w:p w14:paraId="7A41F45A" w14:textId="2D9006DB" w:rsidR="00B80361" w:rsidRPr="00B80361" w:rsidRDefault="00B80361" w:rsidP="00B80361">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6</w:t>
            </w:r>
          </w:p>
        </w:tc>
        <w:tc>
          <w:tcPr>
            <w:tcW w:w="2122" w:type="dxa"/>
            <w:tcBorders>
              <w:top w:val="single" w:sz="4" w:space="0" w:color="auto"/>
              <w:left w:val="single" w:sz="4" w:space="0" w:color="auto"/>
              <w:bottom w:val="single" w:sz="4" w:space="0" w:color="auto"/>
              <w:right w:val="single" w:sz="4" w:space="0" w:color="auto"/>
            </w:tcBorders>
          </w:tcPr>
          <w:p w14:paraId="4F481E0D" w14:textId="591D65CD"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Loading Operation Manuals of Bulk Carriers</w:t>
            </w:r>
          </w:p>
        </w:tc>
        <w:tc>
          <w:tcPr>
            <w:tcW w:w="1984" w:type="dxa"/>
            <w:tcBorders>
              <w:top w:val="single" w:sz="4" w:space="0" w:color="auto"/>
              <w:left w:val="single" w:sz="4" w:space="0" w:color="auto"/>
              <w:bottom w:val="single" w:sz="4" w:space="0" w:color="auto"/>
              <w:right w:val="single" w:sz="4" w:space="0" w:color="auto"/>
            </w:tcBorders>
          </w:tcPr>
          <w:p w14:paraId="57D75871" w14:textId="77777777" w:rsidR="00B80361" w:rsidRPr="00B80361" w:rsidRDefault="00B80361" w:rsidP="00B80361">
            <w:pPr>
              <w:jc w:val="both"/>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xml:space="preserve">) Vessels below 150 </w:t>
            </w:r>
            <w:proofErr w:type="spellStart"/>
            <w:r w:rsidRPr="00B80361">
              <w:rPr>
                <w:rFonts w:ascii="Tahoma" w:hAnsi="Tahoma" w:cs="Tahoma"/>
                <w:i/>
                <w:iCs/>
                <w:sz w:val="20"/>
                <w:szCs w:val="20"/>
                <w:highlight w:val="yellow"/>
              </w:rPr>
              <w:t>metres</w:t>
            </w:r>
            <w:proofErr w:type="spellEnd"/>
            <w:r w:rsidRPr="00B80361">
              <w:rPr>
                <w:rFonts w:ascii="Tahoma" w:hAnsi="Tahoma" w:cs="Tahoma"/>
                <w:i/>
                <w:iCs/>
                <w:sz w:val="20"/>
                <w:szCs w:val="20"/>
                <w:highlight w:val="yellow"/>
              </w:rPr>
              <w:t>.</w:t>
            </w:r>
          </w:p>
          <w:p w14:paraId="7B68C143" w14:textId="77777777" w:rsidR="00B80361" w:rsidRPr="00B80361" w:rsidRDefault="00B80361" w:rsidP="00B80361">
            <w:pPr>
              <w:jc w:val="both"/>
              <w:rPr>
                <w:rFonts w:ascii="Tahoma" w:hAnsi="Tahoma" w:cs="Tahoma"/>
                <w:i/>
                <w:iCs/>
                <w:sz w:val="20"/>
                <w:szCs w:val="20"/>
                <w:highlight w:val="yellow"/>
              </w:rPr>
            </w:pPr>
          </w:p>
          <w:p w14:paraId="1CB5AE38" w14:textId="7CCB1BDA"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 xml:space="preserve">(ii) Vessels above 150 </w:t>
            </w:r>
            <w:proofErr w:type="spellStart"/>
            <w:r w:rsidRPr="00B80361">
              <w:rPr>
                <w:rFonts w:ascii="Tahoma" w:hAnsi="Tahoma" w:cs="Tahoma"/>
                <w:i/>
                <w:iCs/>
                <w:sz w:val="20"/>
                <w:szCs w:val="20"/>
                <w:highlight w:val="yellow"/>
              </w:rPr>
              <w:t>metres</w:t>
            </w:r>
            <w:proofErr w:type="spellEnd"/>
            <w:r w:rsidRPr="00B80361">
              <w:rPr>
                <w:rFonts w:ascii="Tahoma" w:hAnsi="Tahoma" w:cs="Tahoma"/>
                <w:i/>
                <w:iCs/>
                <w:sz w:val="20"/>
                <w:szCs w:val="20"/>
                <w:highlight w:val="yellow"/>
              </w:rPr>
              <w:t>.</w:t>
            </w:r>
          </w:p>
        </w:tc>
        <w:tc>
          <w:tcPr>
            <w:tcW w:w="3604" w:type="dxa"/>
            <w:tcBorders>
              <w:top w:val="single" w:sz="4" w:space="0" w:color="auto"/>
              <w:left w:val="single" w:sz="4" w:space="0" w:color="auto"/>
              <w:bottom w:val="single" w:sz="4" w:space="0" w:color="auto"/>
              <w:right w:val="single" w:sz="4" w:space="0" w:color="auto"/>
            </w:tcBorders>
          </w:tcPr>
          <w:p w14:paraId="16F8656C" w14:textId="77777777"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Rs.30,000/-</w:t>
            </w:r>
          </w:p>
          <w:p w14:paraId="52579103" w14:textId="77777777" w:rsidR="00B80361" w:rsidRPr="00B80361" w:rsidRDefault="00B80361" w:rsidP="00B80361">
            <w:pPr>
              <w:rPr>
                <w:rFonts w:ascii="Tahoma" w:hAnsi="Tahoma" w:cs="Tahoma"/>
                <w:i/>
                <w:iCs/>
                <w:sz w:val="20"/>
                <w:szCs w:val="20"/>
                <w:highlight w:val="yellow"/>
              </w:rPr>
            </w:pPr>
          </w:p>
          <w:p w14:paraId="00E9577D" w14:textId="04630373"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(ii) Rs.50,000/-</w:t>
            </w:r>
          </w:p>
        </w:tc>
      </w:tr>
      <w:tr w:rsidR="00B80361" w:rsidRPr="00B80361" w14:paraId="2D650BFC" w14:textId="77777777" w:rsidTr="00B80361">
        <w:trPr>
          <w:cantSplit/>
          <w:trHeight w:val="269"/>
          <w:jc w:val="center"/>
        </w:trPr>
        <w:tc>
          <w:tcPr>
            <w:tcW w:w="992" w:type="dxa"/>
            <w:tcBorders>
              <w:top w:val="single" w:sz="4" w:space="0" w:color="auto"/>
              <w:left w:val="single" w:sz="4" w:space="0" w:color="auto"/>
              <w:bottom w:val="single" w:sz="4" w:space="0" w:color="auto"/>
              <w:right w:val="single" w:sz="4" w:space="0" w:color="auto"/>
            </w:tcBorders>
          </w:tcPr>
          <w:p w14:paraId="34FD8B6E" w14:textId="563BF3DD" w:rsidR="00B80361" w:rsidRPr="00B80361" w:rsidRDefault="00B80361" w:rsidP="00B80361">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7</w:t>
            </w:r>
          </w:p>
        </w:tc>
        <w:tc>
          <w:tcPr>
            <w:tcW w:w="2122" w:type="dxa"/>
            <w:tcBorders>
              <w:top w:val="single" w:sz="4" w:space="0" w:color="auto"/>
              <w:left w:val="single" w:sz="4" w:space="0" w:color="auto"/>
              <w:bottom w:val="single" w:sz="4" w:space="0" w:color="auto"/>
              <w:right w:val="single" w:sz="4" w:space="0" w:color="auto"/>
            </w:tcBorders>
          </w:tcPr>
          <w:p w14:paraId="7DDAC463" w14:textId="383AA336"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xml:space="preserve">) Inspection of Grain loading Ships - vessels </w:t>
            </w:r>
            <w:proofErr w:type="spellStart"/>
            <w:r w:rsidRPr="00B80361">
              <w:rPr>
                <w:rFonts w:ascii="Tahoma" w:hAnsi="Tahoma" w:cs="Tahoma"/>
                <w:i/>
                <w:iCs/>
                <w:sz w:val="20"/>
                <w:szCs w:val="20"/>
                <w:highlight w:val="yellow"/>
              </w:rPr>
              <w:t>upto</w:t>
            </w:r>
            <w:proofErr w:type="spellEnd"/>
            <w:r w:rsidRPr="00B80361">
              <w:rPr>
                <w:rFonts w:ascii="Tahoma" w:hAnsi="Tahoma" w:cs="Tahoma"/>
                <w:i/>
                <w:iCs/>
                <w:sz w:val="20"/>
                <w:szCs w:val="20"/>
                <w:highlight w:val="yellow"/>
              </w:rPr>
              <w:t xml:space="preserve"> 2000 G.T.</w:t>
            </w:r>
          </w:p>
          <w:p w14:paraId="4CAD0A77" w14:textId="77777777"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 xml:space="preserve">      </w:t>
            </w:r>
          </w:p>
          <w:p w14:paraId="257764DA" w14:textId="29C7282A"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(ii) Above 2000 G.T.</w:t>
            </w:r>
          </w:p>
        </w:tc>
        <w:tc>
          <w:tcPr>
            <w:tcW w:w="1984" w:type="dxa"/>
            <w:tcBorders>
              <w:top w:val="single" w:sz="4" w:space="0" w:color="auto"/>
              <w:left w:val="single" w:sz="4" w:space="0" w:color="auto"/>
              <w:bottom w:val="single" w:sz="4" w:space="0" w:color="auto"/>
              <w:right w:val="single" w:sz="4" w:space="0" w:color="auto"/>
            </w:tcBorders>
          </w:tcPr>
          <w:p w14:paraId="7064CF11" w14:textId="77777777" w:rsidR="00B80361" w:rsidRPr="00B80361" w:rsidRDefault="00B80361" w:rsidP="00B80361">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5960968E" w14:textId="2A41EC5A"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w:t>
            </w:r>
            <w:proofErr w:type="spellStart"/>
            <w:r w:rsidRPr="00B80361">
              <w:rPr>
                <w:rFonts w:ascii="Tahoma" w:hAnsi="Tahoma" w:cs="Tahoma"/>
                <w:i/>
                <w:iCs/>
                <w:sz w:val="20"/>
                <w:szCs w:val="20"/>
                <w:highlight w:val="yellow"/>
              </w:rPr>
              <w:t>i</w:t>
            </w:r>
            <w:proofErr w:type="spellEnd"/>
            <w:r w:rsidRPr="00B80361">
              <w:rPr>
                <w:rFonts w:ascii="Tahoma" w:hAnsi="Tahoma" w:cs="Tahoma"/>
                <w:i/>
                <w:iCs/>
                <w:sz w:val="20"/>
                <w:szCs w:val="20"/>
                <w:highlight w:val="yellow"/>
              </w:rPr>
              <w:t>) Rs.15,000/-</w:t>
            </w:r>
          </w:p>
          <w:p w14:paraId="697CB5AD" w14:textId="77777777" w:rsidR="00B80361" w:rsidRPr="00B80361" w:rsidRDefault="00B80361" w:rsidP="00B80361">
            <w:pPr>
              <w:rPr>
                <w:rFonts w:ascii="Tahoma" w:hAnsi="Tahoma" w:cs="Tahoma"/>
                <w:i/>
                <w:iCs/>
                <w:sz w:val="20"/>
                <w:szCs w:val="20"/>
                <w:highlight w:val="yellow"/>
              </w:rPr>
            </w:pPr>
          </w:p>
          <w:p w14:paraId="7052A3DB" w14:textId="0086D09C" w:rsidR="00B80361" w:rsidRPr="00B80361" w:rsidRDefault="00B80361" w:rsidP="00B80361">
            <w:pPr>
              <w:jc w:val="both"/>
              <w:rPr>
                <w:rFonts w:ascii="Tahoma" w:hAnsi="Tahoma" w:cs="Tahoma"/>
                <w:i/>
                <w:iCs/>
                <w:sz w:val="20"/>
                <w:szCs w:val="20"/>
                <w:highlight w:val="yellow"/>
              </w:rPr>
            </w:pPr>
            <w:r w:rsidRPr="00B80361">
              <w:rPr>
                <w:rFonts w:ascii="Tahoma" w:hAnsi="Tahoma" w:cs="Tahoma"/>
                <w:i/>
                <w:iCs/>
                <w:sz w:val="20"/>
                <w:szCs w:val="20"/>
                <w:highlight w:val="yellow"/>
              </w:rPr>
              <w:t>(ii) Rs.15,000/- plus Rs.500/-for every 100 G.T. subject to a maximum of Rs.60,000/-.</w:t>
            </w:r>
          </w:p>
        </w:tc>
      </w:tr>
      <w:tr w:rsidR="00B80361" w:rsidRPr="00B80361" w14:paraId="78AF66A7" w14:textId="77777777" w:rsidTr="00B80361">
        <w:trPr>
          <w:cantSplit/>
          <w:trHeight w:val="269"/>
          <w:jc w:val="center"/>
        </w:trPr>
        <w:tc>
          <w:tcPr>
            <w:tcW w:w="992" w:type="dxa"/>
            <w:tcBorders>
              <w:top w:val="single" w:sz="4" w:space="0" w:color="auto"/>
              <w:left w:val="single" w:sz="4" w:space="0" w:color="auto"/>
              <w:bottom w:val="single" w:sz="4" w:space="0" w:color="auto"/>
              <w:right w:val="single" w:sz="4" w:space="0" w:color="auto"/>
            </w:tcBorders>
          </w:tcPr>
          <w:p w14:paraId="0BE48F1C" w14:textId="2AB260D9" w:rsidR="00B80361" w:rsidRPr="00B80361" w:rsidRDefault="00B80361" w:rsidP="00B80361">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8</w:t>
            </w:r>
          </w:p>
        </w:tc>
        <w:tc>
          <w:tcPr>
            <w:tcW w:w="2122" w:type="dxa"/>
            <w:tcBorders>
              <w:top w:val="single" w:sz="4" w:space="0" w:color="auto"/>
              <w:left w:val="single" w:sz="4" w:space="0" w:color="auto"/>
              <w:bottom w:val="single" w:sz="4" w:space="0" w:color="auto"/>
              <w:right w:val="single" w:sz="4" w:space="0" w:color="auto"/>
            </w:tcBorders>
          </w:tcPr>
          <w:p w14:paraId="5A52EB7D" w14:textId="77777777"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 xml:space="preserve">Approval and </w:t>
            </w:r>
            <w:proofErr w:type="gramStart"/>
            <w:r w:rsidRPr="00B80361">
              <w:rPr>
                <w:rFonts w:ascii="Tahoma" w:hAnsi="Tahoma" w:cs="Tahoma"/>
                <w:i/>
                <w:iCs/>
                <w:sz w:val="20"/>
                <w:szCs w:val="20"/>
                <w:highlight w:val="yellow"/>
              </w:rPr>
              <w:t>Stamping</w:t>
            </w:r>
            <w:proofErr w:type="gramEnd"/>
            <w:r w:rsidRPr="00B80361">
              <w:rPr>
                <w:rFonts w:ascii="Tahoma" w:hAnsi="Tahoma" w:cs="Tahoma"/>
                <w:i/>
                <w:iCs/>
                <w:sz w:val="20"/>
                <w:szCs w:val="20"/>
                <w:highlight w:val="yellow"/>
              </w:rPr>
              <w:t xml:space="preserve"> of additional copies of booklets/plans </w:t>
            </w:r>
          </w:p>
        </w:tc>
        <w:tc>
          <w:tcPr>
            <w:tcW w:w="1984" w:type="dxa"/>
            <w:tcBorders>
              <w:top w:val="single" w:sz="4" w:space="0" w:color="auto"/>
              <w:left w:val="single" w:sz="4" w:space="0" w:color="auto"/>
              <w:bottom w:val="single" w:sz="4" w:space="0" w:color="auto"/>
              <w:right w:val="single" w:sz="4" w:space="0" w:color="auto"/>
            </w:tcBorders>
          </w:tcPr>
          <w:p w14:paraId="3A210275" w14:textId="77777777" w:rsidR="00B80361" w:rsidRPr="00B80361" w:rsidRDefault="00B80361" w:rsidP="00B80361">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1F682064" w14:textId="77777777" w:rsidR="00B80361" w:rsidRPr="00B80361" w:rsidRDefault="00B80361" w:rsidP="00B80361">
            <w:pPr>
              <w:jc w:val="both"/>
              <w:rPr>
                <w:rFonts w:ascii="Tahoma" w:hAnsi="Tahoma" w:cs="Tahoma"/>
                <w:i/>
                <w:iCs/>
                <w:sz w:val="20"/>
                <w:szCs w:val="20"/>
                <w:highlight w:val="yellow"/>
              </w:rPr>
            </w:pPr>
            <w:r w:rsidRPr="00B80361">
              <w:rPr>
                <w:rFonts w:ascii="Tahoma" w:hAnsi="Tahoma" w:cs="Tahoma"/>
                <w:i/>
                <w:iCs/>
                <w:sz w:val="20"/>
                <w:szCs w:val="20"/>
                <w:highlight w:val="yellow"/>
              </w:rPr>
              <w:t>10% of approval fees</w:t>
            </w:r>
          </w:p>
        </w:tc>
      </w:tr>
      <w:tr w:rsidR="00B80361" w:rsidRPr="00B80361" w14:paraId="15B36F26" w14:textId="77777777" w:rsidTr="00B80361">
        <w:trPr>
          <w:cantSplit/>
          <w:trHeight w:val="269"/>
          <w:jc w:val="center"/>
        </w:trPr>
        <w:tc>
          <w:tcPr>
            <w:tcW w:w="992" w:type="dxa"/>
            <w:tcBorders>
              <w:top w:val="single" w:sz="4" w:space="0" w:color="auto"/>
              <w:left w:val="single" w:sz="4" w:space="0" w:color="auto"/>
              <w:bottom w:val="single" w:sz="4" w:space="0" w:color="auto"/>
              <w:right w:val="single" w:sz="4" w:space="0" w:color="auto"/>
            </w:tcBorders>
          </w:tcPr>
          <w:p w14:paraId="7C021C0F" w14:textId="4D72160A" w:rsidR="00B80361" w:rsidRPr="00B80361" w:rsidRDefault="00B80361" w:rsidP="00B80361">
            <w:pPr>
              <w:tabs>
                <w:tab w:val="left" w:pos="12360"/>
              </w:tabs>
              <w:jc w:val="center"/>
              <w:rPr>
                <w:rFonts w:ascii="Tahoma" w:hAnsi="Tahoma" w:cs="Tahoma"/>
                <w:i/>
                <w:iCs/>
                <w:caps/>
                <w:sz w:val="20"/>
                <w:szCs w:val="20"/>
                <w:highlight w:val="yellow"/>
              </w:rPr>
            </w:pPr>
            <w:r w:rsidRPr="00B80361">
              <w:rPr>
                <w:rFonts w:ascii="Tahoma" w:hAnsi="Tahoma" w:cs="Tahoma"/>
                <w:i/>
                <w:iCs/>
                <w:caps/>
                <w:sz w:val="20"/>
                <w:szCs w:val="20"/>
                <w:highlight w:val="yellow"/>
              </w:rPr>
              <w:t>9</w:t>
            </w:r>
          </w:p>
        </w:tc>
        <w:tc>
          <w:tcPr>
            <w:tcW w:w="2122" w:type="dxa"/>
            <w:tcBorders>
              <w:top w:val="single" w:sz="4" w:space="0" w:color="auto"/>
              <w:left w:val="single" w:sz="4" w:space="0" w:color="auto"/>
              <w:bottom w:val="single" w:sz="4" w:space="0" w:color="auto"/>
              <w:right w:val="single" w:sz="4" w:space="0" w:color="auto"/>
            </w:tcBorders>
          </w:tcPr>
          <w:p w14:paraId="77FB7457" w14:textId="77777777" w:rsidR="00B80361" w:rsidRPr="00B80361" w:rsidRDefault="00B80361" w:rsidP="00B80361">
            <w:pPr>
              <w:rPr>
                <w:rFonts w:ascii="Tahoma" w:hAnsi="Tahoma" w:cs="Tahoma"/>
                <w:i/>
                <w:iCs/>
                <w:sz w:val="20"/>
                <w:szCs w:val="20"/>
                <w:highlight w:val="yellow"/>
              </w:rPr>
            </w:pPr>
            <w:r w:rsidRPr="00B80361">
              <w:rPr>
                <w:rFonts w:ascii="Tahoma" w:hAnsi="Tahoma" w:cs="Tahoma"/>
                <w:i/>
                <w:iCs/>
                <w:sz w:val="20"/>
                <w:szCs w:val="20"/>
                <w:highlight w:val="yellow"/>
              </w:rPr>
              <w:t xml:space="preserve">Endorsement of additional loading conditions / amendments which does not involve re-approval of the plans/booklets </w:t>
            </w:r>
          </w:p>
        </w:tc>
        <w:tc>
          <w:tcPr>
            <w:tcW w:w="1984" w:type="dxa"/>
            <w:tcBorders>
              <w:top w:val="single" w:sz="4" w:space="0" w:color="auto"/>
              <w:left w:val="single" w:sz="4" w:space="0" w:color="auto"/>
              <w:bottom w:val="single" w:sz="4" w:space="0" w:color="auto"/>
              <w:right w:val="single" w:sz="4" w:space="0" w:color="auto"/>
            </w:tcBorders>
          </w:tcPr>
          <w:p w14:paraId="04AB286B" w14:textId="77777777" w:rsidR="00B80361" w:rsidRPr="00B80361" w:rsidRDefault="00B80361" w:rsidP="00B80361">
            <w:pPr>
              <w:rPr>
                <w:rFonts w:ascii="Tahoma" w:hAnsi="Tahoma" w:cs="Tahoma"/>
                <w:i/>
                <w:iCs/>
                <w:sz w:val="20"/>
                <w:szCs w:val="20"/>
                <w:highlight w:val="yellow"/>
              </w:rPr>
            </w:pPr>
          </w:p>
        </w:tc>
        <w:tc>
          <w:tcPr>
            <w:tcW w:w="3604" w:type="dxa"/>
            <w:tcBorders>
              <w:top w:val="single" w:sz="4" w:space="0" w:color="auto"/>
              <w:left w:val="single" w:sz="4" w:space="0" w:color="auto"/>
              <w:bottom w:val="single" w:sz="4" w:space="0" w:color="auto"/>
              <w:right w:val="single" w:sz="4" w:space="0" w:color="auto"/>
            </w:tcBorders>
          </w:tcPr>
          <w:p w14:paraId="353A3942" w14:textId="77777777" w:rsidR="00B80361" w:rsidRPr="00B80361" w:rsidRDefault="00B80361" w:rsidP="00B80361">
            <w:pPr>
              <w:jc w:val="both"/>
              <w:rPr>
                <w:rFonts w:ascii="Tahoma" w:hAnsi="Tahoma" w:cs="Tahoma"/>
                <w:i/>
                <w:iCs/>
                <w:sz w:val="20"/>
                <w:szCs w:val="20"/>
              </w:rPr>
            </w:pPr>
            <w:r w:rsidRPr="00B80361">
              <w:rPr>
                <w:rFonts w:ascii="Tahoma" w:hAnsi="Tahoma" w:cs="Tahoma"/>
                <w:i/>
                <w:iCs/>
                <w:sz w:val="20"/>
                <w:szCs w:val="20"/>
                <w:highlight w:val="yellow"/>
              </w:rPr>
              <w:t>10% of approval fees</w:t>
            </w:r>
          </w:p>
        </w:tc>
      </w:tr>
    </w:tbl>
    <w:p w14:paraId="0C8DA43D" w14:textId="77777777" w:rsidR="00781207" w:rsidRDefault="00781207" w:rsidP="00A46A46">
      <w:pPr>
        <w:pStyle w:val="ListParagraph"/>
        <w:snapToGrid w:val="0"/>
        <w:spacing w:before="120" w:after="120"/>
        <w:ind w:left="0"/>
        <w:jc w:val="both"/>
        <w:rPr>
          <w:rFonts w:ascii="Bookman Old Style" w:hAnsi="Bookman Old Style"/>
          <w:b/>
          <w:color w:val="000000"/>
        </w:rPr>
      </w:pPr>
    </w:p>
    <w:p w14:paraId="77961169" w14:textId="77777777" w:rsidR="00781207" w:rsidRPr="001A2B18" w:rsidRDefault="00781207" w:rsidP="00A46A46">
      <w:pPr>
        <w:pStyle w:val="ListParagraph"/>
        <w:snapToGrid w:val="0"/>
        <w:spacing w:before="120" w:after="120"/>
        <w:ind w:left="0"/>
        <w:jc w:val="both"/>
        <w:rPr>
          <w:rFonts w:ascii="Bookman Old Style" w:hAnsi="Bookman Old Style"/>
          <w:b/>
          <w:color w:val="000000"/>
        </w:rPr>
      </w:pPr>
    </w:p>
    <w:p w14:paraId="6ECE2C95" w14:textId="77777777" w:rsidR="00B0551A" w:rsidRPr="001A2B18" w:rsidRDefault="00B0551A" w:rsidP="00A46A46">
      <w:pPr>
        <w:pStyle w:val="ListParagraph"/>
        <w:snapToGrid w:val="0"/>
        <w:spacing w:before="120" w:after="120"/>
        <w:ind w:left="0"/>
        <w:jc w:val="both"/>
        <w:rPr>
          <w:rFonts w:ascii="Bookman Old Style" w:hAnsi="Bookman Old Style"/>
          <w:b/>
          <w:color w:val="000000"/>
        </w:rPr>
      </w:pPr>
    </w:p>
    <w:p w14:paraId="09D1F739" w14:textId="6E90DA31" w:rsidR="00A46A46" w:rsidRPr="001A2B18" w:rsidRDefault="00A46A46" w:rsidP="00A46A46">
      <w:pPr>
        <w:pStyle w:val="ListParagraph"/>
        <w:numPr>
          <w:ilvl w:val="0"/>
          <w:numId w:val="51"/>
        </w:numPr>
        <w:snapToGrid w:val="0"/>
        <w:spacing w:before="120" w:after="120"/>
        <w:ind w:left="0" w:firstLine="0"/>
        <w:jc w:val="both"/>
        <w:rPr>
          <w:rFonts w:ascii="Bookman Old Style" w:hAnsi="Bookman Old Style"/>
          <w:b/>
          <w:color w:val="000000"/>
        </w:rPr>
      </w:pPr>
      <w:r w:rsidRPr="001A2B18">
        <w:rPr>
          <w:rFonts w:ascii="Bookman Old Style" w:hAnsi="Bookman Old Style"/>
          <w:b/>
          <w:color w:val="000000"/>
        </w:rPr>
        <w:t>Penalties:</w:t>
      </w:r>
    </w:p>
    <w:p w14:paraId="5759CC0B" w14:textId="7E768269" w:rsidR="00A46A46" w:rsidRPr="00B80361" w:rsidRDefault="00A46A46" w:rsidP="00A46A46">
      <w:pPr>
        <w:snapToGrid w:val="0"/>
        <w:spacing w:before="120" w:after="120"/>
        <w:jc w:val="both"/>
        <w:rPr>
          <w:rFonts w:ascii="Bookman Old Style" w:hAnsi="Bookman Old Style"/>
          <w:color w:val="215E99" w:themeColor="text2" w:themeTint="BF"/>
        </w:rPr>
      </w:pPr>
      <w:r w:rsidRPr="00B80361">
        <w:rPr>
          <w:rFonts w:ascii="Bookman Old Style" w:hAnsi="Bookman Old Style"/>
          <w:color w:val="215E99" w:themeColor="text2" w:themeTint="BF"/>
        </w:rPr>
        <w:t>Whoever contravenes any of the provisions of these rules shall be punishable with fine and imprisonment as specified in the relevant Section of Merchant Shipping Act, 20</w:t>
      </w:r>
      <w:r w:rsidR="00B80361" w:rsidRPr="00B80361">
        <w:rPr>
          <w:rFonts w:ascii="Bookman Old Style" w:hAnsi="Bookman Old Style"/>
          <w:color w:val="215E99" w:themeColor="text2" w:themeTint="BF"/>
        </w:rPr>
        <w:t>2</w:t>
      </w:r>
      <w:r w:rsidRPr="00B80361">
        <w:rPr>
          <w:rFonts w:ascii="Bookman Old Style" w:hAnsi="Bookman Old Style"/>
          <w:color w:val="215E99" w:themeColor="text2" w:themeTint="BF"/>
        </w:rPr>
        <w:t>5.</w:t>
      </w:r>
    </w:p>
    <w:p w14:paraId="340189B6" w14:textId="77777777" w:rsidR="00A46A46" w:rsidRPr="001A2B18" w:rsidRDefault="00A46A46" w:rsidP="00A46A46">
      <w:pPr>
        <w:snapToGrid w:val="0"/>
        <w:spacing w:before="120" w:after="120"/>
        <w:jc w:val="both"/>
        <w:rPr>
          <w:rFonts w:ascii="Bookman Old Style" w:hAnsi="Bookman Old Style"/>
          <w:color w:val="000000"/>
        </w:rPr>
      </w:pPr>
    </w:p>
    <w:p w14:paraId="2CA46431" w14:textId="700FC33F" w:rsidR="00A46A46" w:rsidRPr="001A2B18" w:rsidRDefault="00A46A46" w:rsidP="00A46A46">
      <w:pPr>
        <w:pStyle w:val="ListParagraph"/>
        <w:numPr>
          <w:ilvl w:val="0"/>
          <w:numId w:val="51"/>
        </w:numPr>
        <w:snapToGrid w:val="0"/>
        <w:spacing w:before="120" w:after="120"/>
        <w:ind w:left="0" w:firstLine="0"/>
        <w:jc w:val="both"/>
        <w:rPr>
          <w:rFonts w:ascii="Bookman Old Style" w:hAnsi="Bookman Old Style"/>
          <w:b/>
          <w:color w:val="000000"/>
        </w:rPr>
      </w:pPr>
      <w:r w:rsidRPr="001A2B18">
        <w:rPr>
          <w:rFonts w:ascii="Bookman Old Style" w:hAnsi="Bookman Old Style"/>
          <w:b/>
          <w:color w:val="000000"/>
        </w:rPr>
        <w:t>Appeal:</w:t>
      </w:r>
    </w:p>
    <w:p w14:paraId="39A465DF" w14:textId="4BC1D8FE" w:rsidR="00A46A46" w:rsidRPr="003C3292" w:rsidRDefault="00A46A46" w:rsidP="00A46A46">
      <w:pPr>
        <w:snapToGrid w:val="0"/>
        <w:spacing w:before="120" w:after="120"/>
        <w:jc w:val="both"/>
        <w:rPr>
          <w:rFonts w:ascii="Bookman Old Style" w:hAnsi="Bookman Old Style"/>
          <w:color w:val="000000"/>
        </w:rPr>
      </w:pPr>
      <w:r w:rsidRPr="00B80361">
        <w:rPr>
          <w:rFonts w:ascii="Bookman Old Style" w:hAnsi="Bookman Old Style"/>
          <w:color w:val="215E99" w:themeColor="text2" w:themeTint="BF"/>
        </w:rPr>
        <w:t>The ship owner or his manager or agent has the right to appeal against the decision of the authorized inspecting body. The appeal shall be made to the Director General of Maritime Administration within a period of 7 days from the date of incident. The decision of the Director General shall be final and binding upon the applicant and the authorized inspecting body.</w:t>
      </w:r>
    </w:p>
    <w:p w14:paraId="5BF72868" w14:textId="77777777" w:rsidR="00381EB2" w:rsidRDefault="00381EB2" w:rsidP="007D6E38">
      <w:pPr>
        <w:pStyle w:val="BodyText"/>
        <w:autoSpaceDE/>
        <w:autoSpaceDN/>
        <w:adjustRightInd/>
        <w:snapToGrid w:val="0"/>
        <w:spacing w:before="120" w:after="120"/>
        <w:ind w:left="720"/>
        <w:rPr>
          <w:rFonts w:cs="Times New Roman"/>
          <w:bCs/>
          <w:szCs w:val="24"/>
        </w:rPr>
      </w:pPr>
    </w:p>
    <w:p w14:paraId="7B8767BB" w14:textId="77777777" w:rsidR="00A82053" w:rsidRPr="003C3292" w:rsidRDefault="00A82053" w:rsidP="007D6E38">
      <w:pPr>
        <w:snapToGrid w:val="0"/>
        <w:spacing w:before="120" w:after="120"/>
        <w:jc w:val="both"/>
        <w:rPr>
          <w:rFonts w:ascii="Bookman Old Style" w:hAnsi="Bookman Old Style"/>
        </w:rPr>
      </w:pPr>
    </w:p>
    <w:p w14:paraId="42A5734F" w14:textId="19B49300" w:rsidR="006C0378" w:rsidRPr="00A46A46" w:rsidRDefault="006C0378" w:rsidP="007D6E38">
      <w:pPr>
        <w:snapToGrid w:val="0"/>
        <w:spacing w:before="120" w:after="120"/>
        <w:jc w:val="both"/>
        <w:rPr>
          <w:rFonts w:ascii="Bookman Old Style" w:hAnsi="Bookman Old Style"/>
          <w:color w:val="000000"/>
        </w:rPr>
      </w:pPr>
    </w:p>
    <w:sectPr w:rsidR="006C0378" w:rsidRPr="00A46A46" w:rsidSect="00B80361">
      <w:footerReference w:type="default" r:id="rId8"/>
      <w:pgSz w:w="12240" w:h="15840"/>
      <w:pgMar w:top="804" w:right="1800"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C649" w14:textId="77777777" w:rsidR="0045481F" w:rsidRDefault="0045481F" w:rsidP="00E82019">
      <w:r>
        <w:separator/>
      </w:r>
    </w:p>
  </w:endnote>
  <w:endnote w:type="continuationSeparator" w:id="0">
    <w:p w14:paraId="7E872CAE" w14:textId="77777777" w:rsidR="0045481F" w:rsidRDefault="0045481F" w:rsidP="00E8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35ED" w14:textId="77777777" w:rsidR="00E82019" w:rsidRDefault="00E82019">
    <w:pPr>
      <w:pStyle w:val="Footer"/>
      <w:jc w:val="right"/>
    </w:pPr>
    <w:r>
      <w:fldChar w:fldCharType="begin"/>
    </w:r>
    <w:r>
      <w:instrText xml:space="preserve"> PAGE   \* MERGEFORMAT </w:instrText>
    </w:r>
    <w:r>
      <w:fldChar w:fldCharType="separate"/>
    </w:r>
    <w:r>
      <w:rPr>
        <w:noProof/>
      </w:rPr>
      <w:t>21</w:t>
    </w:r>
    <w:r>
      <w:fldChar w:fldCharType="end"/>
    </w:r>
  </w:p>
  <w:p w14:paraId="6F0EAE98" w14:textId="77777777" w:rsidR="00E82019" w:rsidRDefault="00E8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7926" w14:textId="77777777" w:rsidR="0045481F" w:rsidRDefault="0045481F" w:rsidP="00E82019">
      <w:r>
        <w:separator/>
      </w:r>
    </w:p>
  </w:footnote>
  <w:footnote w:type="continuationSeparator" w:id="0">
    <w:p w14:paraId="5860B363" w14:textId="77777777" w:rsidR="0045481F" w:rsidRDefault="0045481F" w:rsidP="00E82019">
      <w:r>
        <w:continuationSeparator/>
      </w:r>
    </w:p>
  </w:footnote>
  <w:footnote w:id="1">
    <w:p w14:paraId="5B41DE5B" w14:textId="7C58FCB5" w:rsidR="00776809" w:rsidRPr="00776809" w:rsidRDefault="00776809" w:rsidP="00776809">
      <w:pPr>
        <w:pStyle w:val="FootnoteText"/>
        <w:jc w:val="both"/>
      </w:pPr>
      <w:r>
        <w:rPr>
          <w:rStyle w:val="FootnoteReference"/>
        </w:rPr>
        <w:footnoteRef/>
      </w:r>
      <w:r>
        <w:t xml:space="preserve"> R</w:t>
      </w:r>
      <w:r w:rsidRPr="00776809">
        <w:t xml:space="preserve">ecommendations for safe carriage for such cargoes issued </w:t>
      </w:r>
      <w:r>
        <w:t xml:space="preserve">and amended </w:t>
      </w:r>
      <w:r w:rsidRPr="00776809">
        <w:t>by the International Maritime</w:t>
      </w:r>
      <w:r>
        <w:t xml:space="preserve"> </w:t>
      </w:r>
      <w:r w:rsidRPr="00776809">
        <w:t>Organization from time to time</w:t>
      </w:r>
      <w:r>
        <w:t>,</w:t>
      </w:r>
      <w:r w:rsidRPr="00776809">
        <w:t xml:space="preserve"> are to be complied with.</w:t>
      </w:r>
    </w:p>
  </w:footnote>
  <w:footnote w:id="2">
    <w:p w14:paraId="1D043A1B" w14:textId="748F2BAA" w:rsidR="00BD63CF" w:rsidRDefault="00BD63CF">
      <w:pPr>
        <w:pStyle w:val="FootnoteText"/>
      </w:pPr>
      <w:r>
        <w:rPr>
          <w:rStyle w:val="FootnoteReference"/>
        </w:rPr>
        <w:footnoteRef/>
      </w:r>
      <w:r>
        <w:t xml:space="preserve"> Refer to Form for Cargo information (MSC/Circ.663)</w:t>
      </w:r>
    </w:p>
  </w:footnote>
  <w:footnote w:id="3">
    <w:p w14:paraId="0EF4F916" w14:textId="04FCC8C6" w:rsidR="00BD63CF" w:rsidRDefault="00BD63CF">
      <w:pPr>
        <w:pStyle w:val="FootnoteText"/>
      </w:pPr>
      <w:r>
        <w:rPr>
          <w:rStyle w:val="FootnoteReference"/>
        </w:rPr>
        <w:footnoteRef/>
      </w:r>
      <w:r>
        <w:t xml:space="preserve"> Reference to Documents in this Rule does not preclude the use of electronic data processing (EDP) and electronic date exchange (EDI) transmission techniques as an aid to paper documentation. </w:t>
      </w:r>
    </w:p>
  </w:footnote>
  <w:footnote w:id="4">
    <w:p w14:paraId="3A1E3A52" w14:textId="1D9E2DC6" w:rsidR="00BD63CF" w:rsidRDefault="00BD63CF">
      <w:pPr>
        <w:pStyle w:val="FootnoteText"/>
      </w:pPr>
      <w:r>
        <w:rPr>
          <w:rStyle w:val="FootnoteReference"/>
        </w:rPr>
        <w:footnoteRef/>
      </w:r>
      <w:r>
        <w:t xml:space="preserve"> </w:t>
      </w:r>
      <w:r w:rsidR="00BF56E6">
        <w:t xml:space="preserve">The term container is as per the International Convention for Safet Containers (CSC), 1972, as amended, taking into account Guidelines for the Approval of offshore containers handles in open seas (MSC/Circ.860) and Revised recommendations on harmonized interpretation and implementation of the International Convention on Safe Containers, 1972, as amended (CSC.1/Circ.138/Rev.1) </w:t>
      </w:r>
    </w:p>
  </w:footnote>
  <w:footnote w:id="5">
    <w:p w14:paraId="04D40051" w14:textId="3AD6D1E7" w:rsidR="00BF56E6" w:rsidRDefault="00BF56E6">
      <w:pPr>
        <w:pStyle w:val="FootnoteText"/>
      </w:pPr>
      <w:r>
        <w:rPr>
          <w:rStyle w:val="FootnoteReference"/>
        </w:rPr>
        <w:footnoteRef/>
      </w:r>
      <w:r>
        <w:t xml:space="preserve"> Refer Guidelines Regarding the verified gross mass of a container carrying cargo (MSC.1/Circ.1475)</w:t>
      </w:r>
    </w:p>
  </w:footnote>
  <w:footnote w:id="6">
    <w:p w14:paraId="7C806824" w14:textId="3733CDFD" w:rsidR="00D144BF" w:rsidRDefault="00D144BF">
      <w:pPr>
        <w:pStyle w:val="FootnoteText"/>
      </w:pPr>
      <w:r>
        <w:rPr>
          <w:rStyle w:val="FootnoteReference"/>
        </w:rPr>
        <w:footnoteRef/>
      </w:r>
      <w:r>
        <w:t xml:space="preserve"> This document may be presented by means of electronic data processing (EDP) and electronic date exchange (EDI) transmission techniques. The signature may be an electronic signature or may be replaced by the name in capitals, of the person authorized to sign.</w:t>
      </w:r>
    </w:p>
  </w:footnote>
  <w:footnote w:id="7">
    <w:p w14:paraId="0A1D8295" w14:textId="77777777" w:rsidR="00D144BF" w:rsidRDefault="00D144BF" w:rsidP="00D144BF">
      <w:pPr>
        <w:rPr>
          <w:sz w:val="20"/>
          <w:szCs w:val="20"/>
        </w:rPr>
      </w:pPr>
      <w:r>
        <w:rPr>
          <w:rStyle w:val="FootnoteReference"/>
        </w:rPr>
        <w:footnoteRef/>
      </w:r>
      <w:r w:rsidRPr="00D144BF">
        <w:rPr>
          <w:sz w:val="20"/>
          <w:szCs w:val="20"/>
        </w:rPr>
        <w:t xml:space="preserve"> </w:t>
      </w:r>
      <w:r>
        <w:rPr>
          <w:sz w:val="20"/>
          <w:szCs w:val="20"/>
        </w:rPr>
        <w:t>Refer to:</w:t>
      </w:r>
    </w:p>
    <w:p w14:paraId="54B9DE92" w14:textId="3A1671EE" w:rsidR="00D144BF" w:rsidRPr="00D144BF" w:rsidRDefault="00D144BF" w:rsidP="00D144BF">
      <w:pPr>
        <w:rPr>
          <w:sz w:val="20"/>
          <w:szCs w:val="20"/>
        </w:rPr>
      </w:pPr>
      <w:r w:rsidRPr="00D144BF">
        <w:rPr>
          <w:sz w:val="20"/>
          <w:szCs w:val="20"/>
        </w:rPr>
        <w:t>.1 Revised recommendations on the safe use of pesticides in ships (MSC.1/Circ.1358);</w:t>
      </w:r>
    </w:p>
    <w:p w14:paraId="799C7ACD" w14:textId="5FB9A3C0" w:rsidR="00D144BF" w:rsidRPr="00D144BF" w:rsidRDefault="00D144BF" w:rsidP="00D144BF">
      <w:pPr>
        <w:rPr>
          <w:sz w:val="20"/>
          <w:szCs w:val="20"/>
        </w:rPr>
      </w:pPr>
      <w:r>
        <w:rPr>
          <w:sz w:val="20"/>
          <w:szCs w:val="20"/>
        </w:rPr>
        <w:t xml:space="preserve">.2 </w:t>
      </w:r>
      <w:r w:rsidRPr="00D144BF">
        <w:rPr>
          <w:sz w:val="20"/>
          <w:szCs w:val="20"/>
        </w:rPr>
        <w:t>Recommendations on the safe use of pesticides in ships applicable to the fumigation of cargo</w:t>
      </w:r>
      <w:r>
        <w:rPr>
          <w:sz w:val="20"/>
          <w:szCs w:val="20"/>
        </w:rPr>
        <w:t xml:space="preserve"> </w:t>
      </w:r>
      <w:r w:rsidRPr="00D144BF">
        <w:rPr>
          <w:sz w:val="20"/>
          <w:szCs w:val="20"/>
        </w:rPr>
        <w:t>holds (MSC.1/Circ.1264, as amended); and</w:t>
      </w:r>
    </w:p>
    <w:p w14:paraId="0C46FDCF" w14:textId="513DBD8A" w:rsidR="00D144BF" w:rsidRPr="004979AC" w:rsidRDefault="00D144BF" w:rsidP="004979AC">
      <w:pPr>
        <w:rPr>
          <w:sz w:val="20"/>
          <w:szCs w:val="20"/>
        </w:rPr>
      </w:pPr>
      <w:r>
        <w:rPr>
          <w:sz w:val="20"/>
          <w:szCs w:val="20"/>
        </w:rPr>
        <w:t xml:space="preserve">.3 </w:t>
      </w:r>
      <w:r w:rsidRPr="00D144BF">
        <w:rPr>
          <w:sz w:val="20"/>
          <w:szCs w:val="20"/>
        </w:rPr>
        <w:t>Revised recommendations on the safe use of pesticides in ships applicable to the fumigation of cargo transport units (MSC.1/Circ.1361).</w:t>
      </w:r>
    </w:p>
  </w:footnote>
  <w:footnote w:id="8">
    <w:p w14:paraId="6E722DBE" w14:textId="6F47F8D9" w:rsidR="001C1EF6" w:rsidRDefault="001C1EF6">
      <w:pPr>
        <w:pStyle w:val="FootnoteText"/>
      </w:pPr>
      <w:r>
        <w:rPr>
          <w:rStyle w:val="FootnoteReference"/>
        </w:rPr>
        <w:footnoteRef/>
      </w:r>
      <w:r>
        <w:t xml:space="preserve"> </w:t>
      </w:r>
      <w:r w:rsidRPr="00D144BF">
        <w:t>Recommendations on the safe use of pesticides in ships applicable to the fumigation of cargo</w:t>
      </w:r>
      <w:r>
        <w:t xml:space="preserve"> </w:t>
      </w:r>
      <w:r w:rsidRPr="00D144BF">
        <w:t>holds (MSC.1/Circ.1264, as amended)</w:t>
      </w:r>
    </w:p>
  </w:footnote>
  <w:footnote w:id="9">
    <w:p w14:paraId="723B1CB8" w14:textId="0FC9C38B" w:rsidR="004979AC" w:rsidRDefault="004979AC">
      <w:pPr>
        <w:pStyle w:val="FootnoteText"/>
      </w:pPr>
      <w:r>
        <w:rPr>
          <w:rStyle w:val="FootnoteReference"/>
        </w:rPr>
        <w:footnoteRef/>
      </w:r>
      <w:r>
        <w:t xml:space="preserve"> </w:t>
      </w:r>
      <w:r w:rsidRPr="002E0A7D">
        <w:t>Refer to the Code of Safe Practice for Cargo Stowage and Securing (resolution A.714(17), as amended).</w:t>
      </w:r>
    </w:p>
  </w:footnote>
  <w:footnote w:id="10">
    <w:p w14:paraId="6FD75F0A" w14:textId="16FD7212" w:rsidR="004979AC" w:rsidRDefault="004979AC">
      <w:pPr>
        <w:pStyle w:val="FootnoteText"/>
      </w:pPr>
      <w:r>
        <w:rPr>
          <w:rStyle w:val="FootnoteReference"/>
        </w:rPr>
        <w:footnoteRef/>
      </w:r>
      <w:r>
        <w:t xml:space="preserve"> </w:t>
      </w:r>
      <w:r w:rsidRPr="002E0A7D">
        <w:t>Refer to the International Maritime Dangerous Goods (IMDG) Code (resolution MSC.122(75), as amended)</w:t>
      </w:r>
    </w:p>
  </w:footnote>
  <w:footnote w:id="11">
    <w:p w14:paraId="096F2BCD" w14:textId="17EB9719" w:rsidR="001A1F15" w:rsidRDefault="001A1F15">
      <w:pPr>
        <w:pStyle w:val="FootnoteText"/>
      </w:pPr>
      <w:r>
        <w:rPr>
          <w:rStyle w:val="FootnoteReference"/>
        </w:rPr>
        <w:footnoteRef/>
      </w:r>
      <w:r>
        <w:t xml:space="preserve"> R</w:t>
      </w:r>
      <w:r w:rsidRPr="002E0A7D">
        <w:t>efer to Revised guidelines for the preparation of the Cargo Securing Manual (MSC.1/Circ.1353).</w:t>
      </w:r>
    </w:p>
  </w:footnote>
  <w:footnote w:id="12">
    <w:p w14:paraId="3F2BD092" w14:textId="77777777" w:rsidR="001A1F15" w:rsidRPr="002E0A7D" w:rsidRDefault="001A1F15" w:rsidP="001A1F15">
      <w:pPr>
        <w:rPr>
          <w:sz w:val="20"/>
          <w:szCs w:val="20"/>
        </w:rPr>
      </w:pPr>
      <w:r>
        <w:rPr>
          <w:rStyle w:val="FootnoteReference"/>
        </w:rPr>
        <w:footnoteRef/>
      </w:r>
      <w:r>
        <w:t xml:space="preserve"> </w:t>
      </w:r>
      <w:r w:rsidRPr="001F1F39">
        <w:rPr>
          <w:sz w:val="20"/>
          <w:szCs w:val="20"/>
        </w:rPr>
        <w:t>Refer</w:t>
      </w:r>
      <w:r>
        <w:rPr>
          <w:sz w:val="20"/>
          <w:szCs w:val="20"/>
        </w:rPr>
        <w:t xml:space="preserve"> </w:t>
      </w:r>
      <w:r w:rsidRPr="001F1F39">
        <w:rPr>
          <w:sz w:val="20"/>
          <w:szCs w:val="20"/>
        </w:rPr>
        <w:t>to Recommendations for material safety data sheets (MSDS) for MARPOL Annex / oil cargo and oil fuel (resolution MSC.286(86),</w:t>
      </w:r>
      <w:r>
        <w:rPr>
          <w:sz w:val="20"/>
          <w:szCs w:val="20"/>
        </w:rPr>
        <w:t xml:space="preserve"> </w:t>
      </w:r>
      <w:r w:rsidRPr="001F1F39">
        <w:rPr>
          <w:sz w:val="20"/>
          <w:szCs w:val="20"/>
        </w:rPr>
        <w:t>as may be amended).</w:t>
      </w:r>
    </w:p>
    <w:p w14:paraId="7E4BA5BF" w14:textId="0EED4FFA" w:rsidR="001A1F15" w:rsidRDefault="001A1F15">
      <w:pPr>
        <w:pStyle w:val="FootnoteText"/>
      </w:pPr>
    </w:p>
  </w:footnote>
  <w:footnote w:id="13">
    <w:p w14:paraId="23AD0526" w14:textId="4D46CECE" w:rsidR="001A1F15" w:rsidRPr="00C26854" w:rsidRDefault="001A1F15" w:rsidP="00C26854">
      <w:pPr>
        <w:rPr>
          <w:sz w:val="20"/>
          <w:szCs w:val="20"/>
        </w:rPr>
      </w:pPr>
      <w:r>
        <w:rPr>
          <w:rStyle w:val="FootnoteReference"/>
        </w:rPr>
        <w:footnoteRef/>
      </w:r>
      <w:r>
        <w:t xml:space="preserve"> </w:t>
      </w:r>
      <w:r w:rsidRPr="001F1F39">
        <w:rPr>
          <w:sz w:val="20"/>
          <w:szCs w:val="20"/>
        </w:rPr>
        <w:t>Refer to Guidelines for the transport and handling of limited amounts of hazardous and noxious liquid substances in bulk in offshore</w:t>
      </w:r>
      <w:r>
        <w:rPr>
          <w:sz w:val="20"/>
          <w:szCs w:val="20"/>
        </w:rPr>
        <w:t xml:space="preserve"> support vessels </w:t>
      </w:r>
      <w:r w:rsidRPr="001F1F39">
        <w:rPr>
          <w:sz w:val="20"/>
          <w:szCs w:val="20"/>
        </w:rPr>
        <w:t>A.673(16), as amended).</w:t>
      </w:r>
    </w:p>
  </w:footnote>
  <w:footnote w:id="14">
    <w:p w14:paraId="7A5FBA11" w14:textId="77777777" w:rsidR="00C26854" w:rsidRPr="002E0A7D" w:rsidRDefault="00C26854" w:rsidP="00C26854">
      <w:pPr>
        <w:rPr>
          <w:sz w:val="20"/>
          <w:szCs w:val="20"/>
        </w:rPr>
      </w:pPr>
      <w:r>
        <w:rPr>
          <w:rStyle w:val="FootnoteReference"/>
        </w:rPr>
        <w:footnoteRef/>
      </w:r>
      <w:r>
        <w:t xml:space="preserve"> </w:t>
      </w:r>
      <w:r w:rsidRPr="002F74E6">
        <w:rPr>
          <w:sz w:val="20"/>
          <w:szCs w:val="20"/>
        </w:rPr>
        <w:t>Refer to the Code of Practice for the Safe Loading and Unloading of Bulk Carriers (BLU Code) (resolution A.862(20), as amended).</w:t>
      </w:r>
    </w:p>
    <w:p w14:paraId="0B352B9B" w14:textId="45721A1B" w:rsidR="00C26854" w:rsidRDefault="00C26854">
      <w:pPr>
        <w:pStyle w:val="FootnoteText"/>
      </w:pPr>
    </w:p>
  </w:footnote>
  <w:footnote w:id="15">
    <w:p w14:paraId="297F6098" w14:textId="76832AD2" w:rsidR="00A148BA" w:rsidRDefault="00A148BA">
      <w:pPr>
        <w:pStyle w:val="FootnoteText"/>
      </w:pPr>
      <w:r>
        <w:rPr>
          <w:rStyle w:val="FootnoteReference"/>
        </w:rPr>
        <w:footnoteRef/>
      </w:r>
      <w:r>
        <w:t xml:space="preserve"> the Code of Safe Practice for Ships Carrying Timber Deck Cargoes, 2011 (2011 TDC Code) (resolution A.1048(27)), Guidance note on precautions to be taken by masters of ships below 100 m in length engaged in carriage of logs (MSC/Circ.525), and Guidance note on precautions to be taken by masters of ships engaged in the carriage of timber cargoes (MSC/Circ.548)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40D"/>
    <w:multiLevelType w:val="hybridMultilevel"/>
    <w:tmpl w:val="13B8CE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70633"/>
    <w:multiLevelType w:val="hybridMultilevel"/>
    <w:tmpl w:val="07828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366579"/>
    <w:multiLevelType w:val="hybridMultilevel"/>
    <w:tmpl w:val="A37E96EC"/>
    <w:lvl w:ilvl="0" w:tplc="DE5E385E">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71B4858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54BEB"/>
    <w:multiLevelType w:val="hybridMultilevel"/>
    <w:tmpl w:val="6632F0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A4A74"/>
    <w:multiLevelType w:val="hybridMultilevel"/>
    <w:tmpl w:val="075A7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F4612"/>
    <w:multiLevelType w:val="hybridMultilevel"/>
    <w:tmpl w:val="DC928F7E"/>
    <w:lvl w:ilvl="0" w:tplc="46BAB76A">
      <w:start w:val="1"/>
      <w:numFmt w:val="decimal"/>
      <w:lvlText w:val="(%1)"/>
      <w:lvlJc w:val="left"/>
      <w:pPr>
        <w:tabs>
          <w:tab w:val="num" w:pos="1710"/>
        </w:tabs>
        <w:ind w:left="1710" w:hanging="13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14143"/>
    <w:multiLevelType w:val="hybridMultilevel"/>
    <w:tmpl w:val="1660DB2E"/>
    <w:lvl w:ilvl="0" w:tplc="9342F9D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044349"/>
    <w:multiLevelType w:val="hybridMultilevel"/>
    <w:tmpl w:val="54107EE0"/>
    <w:lvl w:ilvl="0" w:tplc="19820E16">
      <w:start w:val="1"/>
      <w:numFmt w:val="decimal"/>
      <w:lvlText w:val="(%1)"/>
      <w:lvlJc w:val="left"/>
      <w:pPr>
        <w:tabs>
          <w:tab w:val="num" w:pos="945"/>
        </w:tabs>
        <w:ind w:left="945" w:hanging="585"/>
      </w:pPr>
      <w:rPr>
        <w:rFonts w:hint="default"/>
      </w:rPr>
    </w:lvl>
    <w:lvl w:ilvl="1" w:tplc="0ED20250">
      <w:start w:val="34"/>
      <w:numFmt w:val="decimal"/>
      <w:lvlText w:val="%2."/>
      <w:lvlJc w:val="left"/>
      <w:pPr>
        <w:tabs>
          <w:tab w:val="num" w:pos="1590"/>
        </w:tabs>
        <w:ind w:left="1590" w:hanging="51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C5E43E50">
      <w:start w:val="3"/>
      <w:numFmt w:val="lowerRoman"/>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F15D48"/>
    <w:multiLevelType w:val="hybridMultilevel"/>
    <w:tmpl w:val="AC887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47B94"/>
    <w:multiLevelType w:val="hybridMultilevel"/>
    <w:tmpl w:val="F92A6F00"/>
    <w:lvl w:ilvl="0" w:tplc="C2FCF93A">
      <w:start w:val="1"/>
      <w:numFmt w:val="lowerLetter"/>
      <w:lvlText w:val="%1."/>
      <w:lvlJc w:val="left"/>
      <w:pPr>
        <w:ind w:left="783" w:hanging="360"/>
      </w:pPr>
      <w:rPr>
        <w:b w:val="0"/>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0" w15:restartNumberingAfterBreak="0">
    <w:nsid w:val="19C545C3"/>
    <w:multiLevelType w:val="hybridMultilevel"/>
    <w:tmpl w:val="30E8AD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F43B8"/>
    <w:multiLevelType w:val="hybridMultilevel"/>
    <w:tmpl w:val="8F788756"/>
    <w:lvl w:ilvl="0" w:tplc="B20AB5C4">
      <w:start w:val="3"/>
      <w:numFmt w:val="decimal"/>
      <w:lvlText w:val="(%1)"/>
      <w:lvlJc w:val="left"/>
      <w:pPr>
        <w:tabs>
          <w:tab w:val="num" w:pos="1110"/>
        </w:tabs>
        <w:ind w:left="1110" w:hanging="750"/>
      </w:pPr>
      <w:rPr>
        <w:rFonts w:hint="default"/>
      </w:rPr>
    </w:lvl>
    <w:lvl w:ilvl="1" w:tplc="921E3046">
      <w:start w:val="5"/>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E82F45"/>
    <w:multiLevelType w:val="hybridMultilevel"/>
    <w:tmpl w:val="686C77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CE24DC"/>
    <w:multiLevelType w:val="hybridMultilevel"/>
    <w:tmpl w:val="66ECD72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1E501507"/>
    <w:multiLevelType w:val="hybridMultilevel"/>
    <w:tmpl w:val="C97AEF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F84AFE"/>
    <w:multiLevelType w:val="hybridMultilevel"/>
    <w:tmpl w:val="7E842E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62D60"/>
    <w:multiLevelType w:val="hybridMultilevel"/>
    <w:tmpl w:val="EC6210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7D7834"/>
    <w:multiLevelType w:val="hybridMultilevel"/>
    <w:tmpl w:val="719C0D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FE032F"/>
    <w:multiLevelType w:val="hybridMultilevel"/>
    <w:tmpl w:val="A3D254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1C13B4"/>
    <w:multiLevelType w:val="hybridMultilevel"/>
    <w:tmpl w:val="369A2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7D0FF7"/>
    <w:multiLevelType w:val="hybridMultilevel"/>
    <w:tmpl w:val="613E2462"/>
    <w:lvl w:ilvl="0" w:tplc="0409000D">
      <w:start w:val="1"/>
      <w:numFmt w:val="bullet"/>
      <w:lvlText w:val=""/>
      <w:lvlJc w:val="left"/>
      <w:pPr>
        <w:tabs>
          <w:tab w:val="num" w:pos="908"/>
        </w:tabs>
        <w:ind w:left="908" w:hanging="360"/>
      </w:pPr>
      <w:rPr>
        <w:rFonts w:ascii="Wingdings" w:hAnsi="Wingdings"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21" w15:restartNumberingAfterBreak="0">
    <w:nsid w:val="32D2665A"/>
    <w:multiLevelType w:val="hybridMultilevel"/>
    <w:tmpl w:val="C382E0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5B1753"/>
    <w:multiLevelType w:val="hybridMultilevel"/>
    <w:tmpl w:val="DC1828D2"/>
    <w:lvl w:ilvl="0" w:tplc="FA1A5B44">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7E86B60"/>
    <w:multiLevelType w:val="hybridMultilevel"/>
    <w:tmpl w:val="2A24FF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6216E"/>
    <w:multiLevelType w:val="hybridMultilevel"/>
    <w:tmpl w:val="79B0FA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92387"/>
    <w:multiLevelType w:val="hybridMultilevel"/>
    <w:tmpl w:val="64CEA408"/>
    <w:lvl w:ilvl="0" w:tplc="04090001">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6" w15:restartNumberingAfterBreak="0">
    <w:nsid w:val="3C147EC0"/>
    <w:multiLevelType w:val="hybridMultilevel"/>
    <w:tmpl w:val="458A31B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6D4CF5"/>
    <w:multiLevelType w:val="hybridMultilevel"/>
    <w:tmpl w:val="149C02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E242597"/>
    <w:multiLevelType w:val="hybridMultilevel"/>
    <w:tmpl w:val="7A545502"/>
    <w:lvl w:ilvl="0" w:tplc="DE5E385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7A6FB5"/>
    <w:multiLevelType w:val="hybridMultilevel"/>
    <w:tmpl w:val="64A4859E"/>
    <w:lvl w:ilvl="0" w:tplc="DE5E385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B42F02"/>
    <w:multiLevelType w:val="hybridMultilevel"/>
    <w:tmpl w:val="484E45E4"/>
    <w:lvl w:ilvl="0" w:tplc="DE5E385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5F5466"/>
    <w:multiLevelType w:val="hybridMultilevel"/>
    <w:tmpl w:val="939EBD0E"/>
    <w:lvl w:ilvl="0" w:tplc="DE5E385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6F2422"/>
    <w:multiLevelType w:val="hybridMultilevel"/>
    <w:tmpl w:val="ECF616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B8398F"/>
    <w:multiLevelType w:val="hybridMultilevel"/>
    <w:tmpl w:val="B93E35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2E606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6F77B23"/>
    <w:multiLevelType w:val="hybridMultilevel"/>
    <w:tmpl w:val="A064CC5E"/>
    <w:lvl w:ilvl="0" w:tplc="CFE067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B7D155C"/>
    <w:multiLevelType w:val="hybridMultilevel"/>
    <w:tmpl w:val="5810C1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FC7A54"/>
    <w:multiLevelType w:val="hybridMultilevel"/>
    <w:tmpl w:val="607AA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71A0"/>
    <w:multiLevelType w:val="hybridMultilevel"/>
    <w:tmpl w:val="D1E6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A222B"/>
    <w:multiLevelType w:val="hybridMultilevel"/>
    <w:tmpl w:val="E3CA7F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B376D3D"/>
    <w:multiLevelType w:val="hybridMultilevel"/>
    <w:tmpl w:val="38A0C3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B13177"/>
    <w:multiLevelType w:val="hybridMultilevel"/>
    <w:tmpl w:val="A95EF4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9A348C"/>
    <w:multiLevelType w:val="hybridMultilevel"/>
    <w:tmpl w:val="24507A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80DA2"/>
    <w:multiLevelType w:val="hybridMultilevel"/>
    <w:tmpl w:val="77547566"/>
    <w:lvl w:ilvl="0" w:tplc="09C05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085CB4"/>
    <w:multiLevelType w:val="hybridMultilevel"/>
    <w:tmpl w:val="74708E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B8798F"/>
    <w:multiLevelType w:val="hybridMultilevel"/>
    <w:tmpl w:val="5F3A9D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3A7FF7"/>
    <w:multiLevelType w:val="hybridMultilevel"/>
    <w:tmpl w:val="16DC5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90BE5"/>
    <w:multiLevelType w:val="hybridMultilevel"/>
    <w:tmpl w:val="070E22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AA01A57"/>
    <w:multiLevelType w:val="hybridMultilevel"/>
    <w:tmpl w:val="4488A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54B9E"/>
    <w:multiLevelType w:val="hybridMultilevel"/>
    <w:tmpl w:val="A3187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3753F3"/>
    <w:multiLevelType w:val="hybridMultilevel"/>
    <w:tmpl w:val="9ADEC8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9A11E5"/>
    <w:multiLevelType w:val="hybridMultilevel"/>
    <w:tmpl w:val="D230022C"/>
    <w:lvl w:ilvl="0" w:tplc="13FC0586">
      <w:start w:val="1"/>
      <w:numFmt w:val="lowerLetter"/>
      <w:lvlText w:val="(%1)"/>
      <w:lvlJc w:val="left"/>
      <w:pPr>
        <w:tabs>
          <w:tab w:val="num" w:pos="795"/>
        </w:tabs>
        <w:ind w:left="795" w:hanging="435"/>
      </w:pPr>
      <w:rPr>
        <w:rFonts w:hint="default"/>
      </w:rPr>
    </w:lvl>
    <w:lvl w:ilvl="1" w:tplc="F8B849BA">
      <w:start w:val="3"/>
      <w:numFmt w:val="lowerRoman"/>
      <w:lvlText w:val="(%2)"/>
      <w:lvlJc w:val="left"/>
      <w:pPr>
        <w:tabs>
          <w:tab w:val="num" w:pos="1800"/>
        </w:tabs>
        <w:ind w:left="1800" w:hanging="720"/>
      </w:pPr>
      <w:rPr>
        <w:rFonts w:hint="default"/>
      </w:rPr>
    </w:lvl>
    <w:lvl w:ilvl="2" w:tplc="B3AE8A92">
      <w:start w:val="14"/>
      <w:numFmt w:val="decimal"/>
      <w:lvlText w:val="%3."/>
      <w:lvlJc w:val="left"/>
      <w:pPr>
        <w:tabs>
          <w:tab w:val="num" w:pos="2505"/>
        </w:tabs>
        <w:ind w:left="2505" w:hanging="525"/>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1495823">
    <w:abstractNumId w:val="11"/>
  </w:num>
  <w:num w:numId="2" w16cid:durableId="363797246">
    <w:abstractNumId w:val="22"/>
  </w:num>
  <w:num w:numId="3" w16cid:durableId="1030104817">
    <w:abstractNumId w:val="35"/>
  </w:num>
  <w:num w:numId="4" w16cid:durableId="627469531">
    <w:abstractNumId w:val="5"/>
  </w:num>
  <w:num w:numId="5" w16cid:durableId="1355158905">
    <w:abstractNumId w:val="13"/>
  </w:num>
  <w:num w:numId="6" w16cid:durableId="148985359">
    <w:abstractNumId w:val="7"/>
  </w:num>
  <w:num w:numId="7" w16cid:durableId="869487194">
    <w:abstractNumId w:val="25"/>
  </w:num>
  <w:num w:numId="8" w16cid:durableId="365444437">
    <w:abstractNumId w:val="51"/>
  </w:num>
  <w:num w:numId="9" w16cid:durableId="573009563">
    <w:abstractNumId w:val="6"/>
  </w:num>
  <w:num w:numId="10" w16cid:durableId="1840581833">
    <w:abstractNumId w:val="20"/>
  </w:num>
  <w:num w:numId="11" w16cid:durableId="690377933">
    <w:abstractNumId w:val="2"/>
  </w:num>
  <w:num w:numId="12" w16cid:durableId="2130854572">
    <w:abstractNumId w:val="34"/>
  </w:num>
  <w:num w:numId="13" w16cid:durableId="184559338">
    <w:abstractNumId w:val="9"/>
  </w:num>
  <w:num w:numId="14" w16cid:durableId="360474174">
    <w:abstractNumId w:val="8"/>
  </w:num>
  <w:num w:numId="15" w16cid:durableId="723603340">
    <w:abstractNumId w:val="30"/>
  </w:num>
  <w:num w:numId="16" w16cid:durableId="1647858922">
    <w:abstractNumId w:val="28"/>
  </w:num>
  <w:num w:numId="17" w16cid:durableId="1264000499">
    <w:abstractNumId w:val="1"/>
  </w:num>
  <w:num w:numId="18" w16cid:durableId="812408267">
    <w:abstractNumId w:val="18"/>
  </w:num>
  <w:num w:numId="19" w16cid:durableId="174730032">
    <w:abstractNumId w:val="27"/>
  </w:num>
  <w:num w:numId="20" w16cid:durableId="12346337">
    <w:abstractNumId w:val="41"/>
  </w:num>
  <w:num w:numId="21" w16cid:durableId="1972008028">
    <w:abstractNumId w:val="37"/>
  </w:num>
  <w:num w:numId="22" w16cid:durableId="1340699957">
    <w:abstractNumId w:val="40"/>
  </w:num>
  <w:num w:numId="23" w16cid:durableId="955718997">
    <w:abstractNumId w:val="10"/>
  </w:num>
  <w:num w:numId="24" w16cid:durableId="2143384116">
    <w:abstractNumId w:val="19"/>
  </w:num>
  <w:num w:numId="25" w16cid:durableId="266960788">
    <w:abstractNumId w:val="21"/>
  </w:num>
  <w:num w:numId="26" w16cid:durableId="404109476">
    <w:abstractNumId w:val="32"/>
  </w:num>
  <w:num w:numId="27" w16cid:durableId="517431919">
    <w:abstractNumId w:val="12"/>
  </w:num>
  <w:num w:numId="28" w16cid:durableId="387805493">
    <w:abstractNumId w:val="39"/>
  </w:num>
  <w:num w:numId="29" w16cid:durableId="1302691424">
    <w:abstractNumId w:val="0"/>
  </w:num>
  <w:num w:numId="30" w16cid:durableId="246884814">
    <w:abstractNumId w:val="16"/>
  </w:num>
  <w:num w:numId="31" w16cid:durableId="106855506">
    <w:abstractNumId w:val="46"/>
  </w:num>
  <w:num w:numId="32" w16cid:durableId="577714037">
    <w:abstractNumId w:val="50"/>
  </w:num>
  <w:num w:numId="33" w16cid:durableId="1354264085">
    <w:abstractNumId w:val="17"/>
  </w:num>
  <w:num w:numId="34" w16cid:durableId="1778333431">
    <w:abstractNumId w:val="44"/>
  </w:num>
  <w:num w:numId="35" w16cid:durableId="1789007271">
    <w:abstractNumId w:val="42"/>
  </w:num>
  <w:num w:numId="36" w16cid:durableId="1290890402">
    <w:abstractNumId w:val="3"/>
  </w:num>
  <w:num w:numId="37" w16cid:durableId="1130322151">
    <w:abstractNumId w:val="15"/>
  </w:num>
  <w:num w:numId="38" w16cid:durableId="1520311798">
    <w:abstractNumId w:val="4"/>
  </w:num>
  <w:num w:numId="39" w16cid:durableId="234903629">
    <w:abstractNumId w:val="24"/>
  </w:num>
  <w:num w:numId="40" w16cid:durableId="1156873484">
    <w:abstractNumId w:val="45"/>
  </w:num>
  <w:num w:numId="41" w16cid:durableId="194541594">
    <w:abstractNumId w:val="48"/>
  </w:num>
  <w:num w:numId="42" w16cid:durableId="1154570158">
    <w:abstractNumId w:val="31"/>
  </w:num>
  <w:num w:numId="43" w16cid:durableId="1797869277">
    <w:abstractNumId w:val="38"/>
  </w:num>
  <w:num w:numId="44" w16cid:durableId="832991244">
    <w:abstractNumId w:val="29"/>
  </w:num>
  <w:num w:numId="45" w16cid:durableId="993950812">
    <w:abstractNumId w:val="26"/>
  </w:num>
  <w:num w:numId="46" w16cid:durableId="555551228">
    <w:abstractNumId w:val="36"/>
  </w:num>
  <w:num w:numId="47" w16cid:durableId="919943813">
    <w:abstractNumId w:val="47"/>
  </w:num>
  <w:num w:numId="48" w16cid:durableId="905144668">
    <w:abstractNumId w:val="23"/>
  </w:num>
  <w:num w:numId="49" w16cid:durableId="972128025">
    <w:abstractNumId w:val="14"/>
  </w:num>
  <w:num w:numId="50" w16cid:durableId="628124279">
    <w:abstractNumId w:val="33"/>
  </w:num>
  <w:num w:numId="51" w16cid:durableId="724909356">
    <w:abstractNumId w:val="49"/>
  </w:num>
  <w:num w:numId="52" w16cid:durableId="5623733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2E"/>
    <w:rsid w:val="00002A56"/>
    <w:rsid w:val="00006551"/>
    <w:rsid w:val="00010506"/>
    <w:rsid w:val="00013AB2"/>
    <w:rsid w:val="0001637A"/>
    <w:rsid w:val="00017CE5"/>
    <w:rsid w:val="00025DE5"/>
    <w:rsid w:val="00025F79"/>
    <w:rsid w:val="00030F17"/>
    <w:rsid w:val="00034AB9"/>
    <w:rsid w:val="00034AD7"/>
    <w:rsid w:val="00034D89"/>
    <w:rsid w:val="00035652"/>
    <w:rsid w:val="00036958"/>
    <w:rsid w:val="000418D9"/>
    <w:rsid w:val="000443DF"/>
    <w:rsid w:val="00055FD5"/>
    <w:rsid w:val="00056274"/>
    <w:rsid w:val="00056C4A"/>
    <w:rsid w:val="00060A79"/>
    <w:rsid w:val="00067683"/>
    <w:rsid w:val="00070744"/>
    <w:rsid w:val="0007214F"/>
    <w:rsid w:val="0007371F"/>
    <w:rsid w:val="000749F8"/>
    <w:rsid w:val="000830A1"/>
    <w:rsid w:val="00084CDB"/>
    <w:rsid w:val="00085E8D"/>
    <w:rsid w:val="00087C51"/>
    <w:rsid w:val="0009131C"/>
    <w:rsid w:val="000946F8"/>
    <w:rsid w:val="000A108D"/>
    <w:rsid w:val="000A2351"/>
    <w:rsid w:val="000A2A6F"/>
    <w:rsid w:val="000A6E58"/>
    <w:rsid w:val="000B16F7"/>
    <w:rsid w:val="000B42D1"/>
    <w:rsid w:val="000B6E9C"/>
    <w:rsid w:val="000C4905"/>
    <w:rsid w:val="000D2533"/>
    <w:rsid w:val="000D636A"/>
    <w:rsid w:val="000D68CA"/>
    <w:rsid w:val="000F1516"/>
    <w:rsid w:val="000F2858"/>
    <w:rsid w:val="000F38FE"/>
    <w:rsid w:val="000F5756"/>
    <w:rsid w:val="000F5804"/>
    <w:rsid w:val="00103BBA"/>
    <w:rsid w:val="00104491"/>
    <w:rsid w:val="00114BD0"/>
    <w:rsid w:val="00123467"/>
    <w:rsid w:val="0012632C"/>
    <w:rsid w:val="00126E56"/>
    <w:rsid w:val="00127F7A"/>
    <w:rsid w:val="00134888"/>
    <w:rsid w:val="001358B8"/>
    <w:rsid w:val="0014072E"/>
    <w:rsid w:val="0014118F"/>
    <w:rsid w:val="00145B02"/>
    <w:rsid w:val="00150FB3"/>
    <w:rsid w:val="00151983"/>
    <w:rsid w:val="00155C6E"/>
    <w:rsid w:val="00162152"/>
    <w:rsid w:val="00163EF9"/>
    <w:rsid w:val="00166303"/>
    <w:rsid w:val="00167A3A"/>
    <w:rsid w:val="00170FB1"/>
    <w:rsid w:val="0017138A"/>
    <w:rsid w:val="00171FD0"/>
    <w:rsid w:val="00172FB2"/>
    <w:rsid w:val="00174D57"/>
    <w:rsid w:val="00193F2C"/>
    <w:rsid w:val="001A1F15"/>
    <w:rsid w:val="001A2B18"/>
    <w:rsid w:val="001A4969"/>
    <w:rsid w:val="001B392C"/>
    <w:rsid w:val="001B3BB6"/>
    <w:rsid w:val="001B6110"/>
    <w:rsid w:val="001B6E17"/>
    <w:rsid w:val="001B7BB9"/>
    <w:rsid w:val="001C1EF6"/>
    <w:rsid w:val="001C2C63"/>
    <w:rsid w:val="001D1CCC"/>
    <w:rsid w:val="001D2A53"/>
    <w:rsid w:val="001D2DDE"/>
    <w:rsid w:val="001D358A"/>
    <w:rsid w:val="001E7313"/>
    <w:rsid w:val="001F3ABE"/>
    <w:rsid w:val="001F6990"/>
    <w:rsid w:val="001F7164"/>
    <w:rsid w:val="001F71A2"/>
    <w:rsid w:val="00202569"/>
    <w:rsid w:val="002062A8"/>
    <w:rsid w:val="00211076"/>
    <w:rsid w:val="00214535"/>
    <w:rsid w:val="0023092E"/>
    <w:rsid w:val="002331B1"/>
    <w:rsid w:val="00233534"/>
    <w:rsid w:val="002339A5"/>
    <w:rsid w:val="0023510E"/>
    <w:rsid w:val="00237B51"/>
    <w:rsid w:val="00242ABE"/>
    <w:rsid w:val="002431D1"/>
    <w:rsid w:val="00252D0D"/>
    <w:rsid w:val="00254D34"/>
    <w:rsid w:val="00257A14"/>
    <w:rsid w:val="002603FB"/>
    <w:rsid w:val="002620DA"/>
    <w:rsid w:val="002673A5"/>
    <w:rsid w:val="0027523D"/>
    <w:rsid w:val="00275B59"/>
    <w:rsid w:val="0027681E"/>
    <w:rsid w:val="002820F7"/>
    <w:rsid w:val="002825C1"/>
    <w:rsid w:val="00284651"/>
    <w:rsid w:val="002856FB"/>
    <w:rsid w:val="00286541"/>
    <w:rsid w:val="002920DF"/>
    <w:rsid w:val="002934BF"/>
    <w:rsid w:val="00294EEF"/>
    <w:rsid w:val="0029744D"/>
    <w:rsid w:val="002A31D8"/>
    <w:rsid w:val="002A5011"/>
    <w:rsid w:val="002A7D53"/>
    <w:rsid w:val="002A7D66"/>
    <w:rsid w:val="002B28CA"/>
    <w:rsid w:val="002B31FF"/>
    <w:rsid w:val="002B4222"/>
    <w:rsid w:val="002C17B3"/>
    <w:rsid w:val="002C262E"/>
    <w:rsid w:val="002C2F47"/>
    <w:rsid w:val="002D3702"/>
    <w:rsid w:val="002E1B91"/>
    <w:rsid w:val="002E4355"/>
    <w:rsid w:val="0030410C"/>
    <w:rsid w:val="003115BF"/>
    <w:rsid w:val="00312B71"/>
    <w:rsid w:val="00313AF4"/>
    <w:rsid w:val="00323C30"/>
    <w:rsid w:val="003264A6"/>
    <w:rsid w:val="003313DC"/>
    <w:rsid w:val="003324DD"/>
    <w:rsid w:val="00337213"/>
    <w:rsid w:val="00355BFE"/>
    <w:rsid w:val="00361310"/>
    <w:rsid w:val="003655C4"/>
    <w:rsid w:val="00365980"/>
    <w:rsid w:val="0036782D"/>
    <w:rsid w:val="00370505"/>
    <w:rsid w:val="003731F7"/>
    <w:rsid w:val="003809D4"/>
    <w:rsid w:val="00381EB2"/>
    <w:rsid w:val="00394601"/>
    <w:rsid w:val="00394DB2"/>
    <w:rsid w:val="003951BB"/>
    <w:rsid w:val="00396BDF"/>
    <w:rsid w:val="0039711B"/>
    <w:rsid w:val="003A1791"/>
    <w:rsid w:val="003A2D72"/>
    <w:rsid w:val="003A61EB"/>
    <w:rsid w:val="003A6542"/>
    <w:rsid w:val="003B0066"/>
    <w:rsid w:val="003B7953"/>
    <w:rsid w:val="003B7E9C"/>
    <w:rsid w:val="003C0662"/>
    <w:rsid w:val="003C1F8A"/>
    <w:rsid w:val="003C3292"/>
    <w:rsid w:val="003C3702"/>
    <w:rsid w:val="003C47B4"/>
    <w:rsid w:val="003C5BF7"/>
    <w:rsid w:val="003D077C"/>
    <w:rsid w:val="003D1AEE"/>
    <w:rsid w:val="003E059A"/>
    <w:rsid w:val="003E32F8"/>
    <w:rsid w:val="003E7CCF"/>
    <w:rsid w:val="003F1082"/>
    <w:rsid w:val="003F55C9"/>
    <w:rsid w:val="003F72FF"/>
    <w:rsid w:val="00405F7F"/>
    <w:rsid w:val="00406F8C"/>
    <w:rsid w:val="00413804"/>
    <w:rsid w:val="00413B04"/>
    <w:rsid w:val="00415429"/>
    <w:rsid w:val="00421C31"/>
    <w:rsid w:val="004254A0"/>
    <w:rsid w:val="00425D4F"/>
    <w:rsid w:val="00426BF0"/>
    <w:rsid w:val="0043170E"/>
    <w:rsid w:val="0043463A"/>
    <w:rsid w:val="00436F21"/>
    <w:rsid w:val="00440025"/>
    <w:rsid w:val="00441CC7"/>
    <w:rsid w:val="004467C9"/>
    <w:rsid w:val="00452477"/>
    <w:rsid w:val="00452A90"/>
    <w:rsid w:val="0045481F"/>
    <w:rsid w:val="004550AB"/>
    <w:rsid w:val="004552FF"/>
    <w:rsid w:val="00460B28"/>
    <w:rsid w:val="00463179"/>
    <w:rsid w:val="00464DF1"/>
    <w:rsid w:val="00472063"/>
    <w:rsid w:val="00476E9C"/>
    <w:rsid w:val="00482CE1"/>
    <w:rsid w:val="0048395F"/>
    <w:rsid w:val="00485C53"/>
    <w:rsid w:val="00486318"/>
    <w:rsid w:val="00491976"/>
    <w:rsid w:val="00491B74"/>
    <w:rsid w:val="00497341"/>
    <w:rsid w:val="004979AC"/>
    <w:rsid w:val="004A395D"/>
    <w:rsid w:val="004B21A5"/>
    <w:rsid w:val="004B4D21"/>
    <w:rsid w:val="004B58D9"/>
    <w:rsid w:val="004B5BC5"/>
    <w:rsid w:val="004C6695"/>
    <w:rsid w:val="004D7885"/>
    <w:rsid w:val="004D7958"/>
    <w:rsid w:val="004E00ED"/>
    <w:rsid w:val="004E1663"/>
    <w:rsid w:val="004E27B7"/>
    <w:rsid w:val="004E28B8"/>
    <w:rsid w:val="004E52DB"/>
    <w:rsid w:val="004F6247"/>
    <w:rsid w:val="004F7A9A"/>
    <w:rsid w:val="00500610"/>
    <w:rsid w:val="00500FC4"/>
    <w:rsid w:val="00502F89"/>
    <w:rsid w:val="00504014"/>
    <w:rsid w:val="00504881"/>
    <w:rsid w:val="00510E68"/>
    <w:rsid w:val="005122B1"/>
    <w:rsid w:val="005169A6"/>
    <w:rsid w:val="00517BE6"/>
    <w:rsid w:val="00522175"/>
    <w:rsid w:val="0053045E"/>
    <w:rsid w:val="00543461"/>
    <w:rsid w:val="005518E6"/>
    <w:rsid w:val="00561B63"/>
    <w:rsid w:val="00562B75"/>
    <w:rsid w:val="0057183D"/>
    <w:rsid w:val="005728AD"/>
    <w:rsid w:val="00573F95"/>
    <w:rsid w:val="00575440"/>
    <w:rsid w:val="00580F93"/>
    <w:rsid w:val="005830B0"/>
    <w:rsid w:val="00587208"/>
    <w:rsid w:val="00593231"/>
    <w:rsid w:val="005944E6"/>
    <w:rsid w:val="00595938"/>
    <w:rsid w:val="00597618"/>
    <w:rsid w:val="005A262C"/>
    <w:rsid w:val="005A6D9D"/>
    <w:rsid w:val="005B3C94"/>
    <w:rsid w:val="005C4023"/>
    <w:rsid w:val="005D13AF"/>
    <w:rsid w:val="005D15DD"/>
    <w:rsid w:val="005D247E"/>
    <w:rsid w:val="005D2B58"/>
    <w:rsid w:val="005D40D8"/>
    <w:rsid w:val="005D6160"/>
    <w:rsid w:val="005E24F9"/>
    <w:rsid w:val="005E3074"/>
    <w:rsid w:val="005F10CB"/>
    <w:rsid w:val="005F1ADC"/>
    <w:rsid w:val="005F2D5B"/>
    <w:rsid w:val="005F36FF"/>
    <w:rsid w:val="005F69E7"/>
    <w:rsid w:val="00603646"/>
    <w:rsid w:val="00603A21"/>
    <w:rsid w:val="0060402A"/>
    <w:rsid w:val="006048EC"/>
    <w:rsid w:val="00614F20"/>
    <w:rsid w:val="006230D3"/>
    <w:rsid w:val="006250AF"/>
    <w:rsid w:val="006305C8"/>
    <w:rsid w:val="006308F5"/>
    <w:rsid w:val="00633709"/>
    <w:rsid w:val="006446C2"/>
    <w:rsid w:val="00650B98"/>
    <w:rsid w:val="006614F1"/>
    <w:rsid w:val="00661B44"/>
    <w:rsid w:val="00673839"/>
    <w:rsid w:val="0068627F"/>
    <w:rsid w:val="00686587"/>
    <w:rsid w:val="00693566"/>
    <w:rsid w:val="0069673E"/>
    <w:rsid w:val="006A2610"/>
    <w:rsid w:val="006A33DD"/>
    <w:rsid w:val="006B21BA"/>
    <w:rsid w:val="006B237F"/>
    <w:rsid w:val="006B4926"/>
    <w:rsid w:val="006B4D7D"/>
    <w:rsid w:val="006B6B3E"/>
    <w:rsid w:val="006B79C8"/>
    <w:rsid w:val="006C0378"/>
    <w:rsid w:val="006C1361"/>
    <w:rsid w:val="006C5214"/>
    <w:rsid w:val="006C66DB"/>
    <w:rsid w:val="006D1E1F"/>
    <w:rsid w:val="006D6615"/>
    <w:rsid w:val="006E00A7"/>
    <w:rsid w:val="006E1A26"/>
    <w:rsid w:val="006E3961"/>
    <w:rsid w:val="006E480D"/>
    <w:rsid w:val="006E5828"/>
    <w:rsid w:val="006E6530"/>
    <w:rsid w:val="006F4E16"/>
    <w:rsid w:val="006F67D0"/>
    <w:rsid w:val="006F737E"/>
    <w:rsid w:val="006F7CB5"/>
    <w:rsid w:val="007025AB"/>
    <w:rsid w:val="00703618"/>
    <w:rsid w:val="00706B20"/>
    <w:rsid w:val="007100BC"/>
    <w:rsid w:val="00721A92"/>
    <w:rsid w:val="00721FC7"/>
    <w:rsid w:val="00724492"/>
    <w:rsid w:val="00727490"/>
    <w:rsid w:val="0072787B"/>
    <w:rsid w:val="00733DD7"/>
    <w:rsid w:val="00734714"/>
    <w:rsid w:val="00736D0A"/>
    <w:rsid w:val="00740C9D"/>
    <w:rsid w:val="00740E3F"/>
    <w:rsid w:val="00743307"/>
    <w:rsid w:val="00745930"/>
    <w:rsid w:val="0074707A"/>
    <w:rsid w:val="00750423"/>
    <w:rsid w:val="007567BE"/>
    <w:rsid w:val="00761D20"/>
    <w:rsid w:val="0077572A"/>
    <w:rsid w:val="00776809"/>
    <w:rsid w:val="007778D2"/>
    <w:rsid w:val="00781207"/>
    <w:rsid w:val="00783025"/>
    <w:rsid w:val="00783E8E"/>
    <w:rsid w:val="0078424E"/>
    <w:rsid w:val="007943DF"/>
    <w:rsid w:val="007A231E"/>
    <w:rsid w:val="007A2EFF"/>
    <w:rsid w:val="007A4FD5"/>
    <w:rsid w:val="007C0254"/>
    <w:rsid w:val="007C7414"/>
    <w:rsid w:val="007D2DAD"/>
    <w:rsid w:val="007D4CF0"/>
    <w:rsid w:val="007D66D6"/>
    <w:rsid w:val="007D6DF0"/>
    <w:rsid w:val="007D6E38"/>
    <w:rsid w:val="007E0707"/>
    <w:rsid w:val="007E0963"/>
    <w:rsid w:val="007E45E8"/>
    <w:rsid w:val="007E5B66"/>
    <w:rsid w:val="007F4AD7"/>
    <w:rsid w:val="007F66C5"/>
    <w:rsid w:val="00800E91"/>
    <w:rsid w:val="00801411"/>
    <w:rsid w:val="008018B1"/>
    <w:rsid w:val="008030B0"/>
    <w:rsid w:val="00804626"/>
    <w:rsid w:val="00811C83"/>
    <w:rsid w:val="008160B0"/>
    <w:rsid w:val="00817094"/>
    <w:rsid w:val="00817A60"/>
    <w:rsid w:val="00823739"/>
    <w:rsid w:val="0082574E"/>
    <w:rsid w:val="00826DE6"/>
    <w:rsid w:val="00830493"/>
    <w:rsid w:val="00840F71"/>
    <w:rsid w:val="0084116F"/>
    <w:rsid w:val="008446AE"/>
    <w:rsid w:val="00844797"/>
    <w:rsid w:val="00850CD4"/>
    <w:rsid w:val="0085387F"/>
    <w:rsid w:val="00857CFF"/>
    <w:rsid w:val="00862AB2"/>
    <w:rsid w:val="00863DE3"/>
    <w:rsid w:val="00866F39"/>
    <w:rsid w:val="00871901"/>
    <w:rsid w:val="008721FC"/>
    <w:rsid w:val="008728E6"/>
    <w:rsid w:val="008775D5"/>
    <w:rsid w:val="00881C75"/>
    <w:rsid w:val="008905F4"/>
    <w:rsid w:val="00890B71"/>
    <w:rsid w:val="00891777"/>
    <w:rsid w:val="00892DAE"/>
    <w:rsid w:val="00897660"/>
    <w:rsid w:val="008A0CAB"/>
    <w:rsid w:val="008A7936"/>
    <w:rsid w:val="008B3199"/>
    <w:rsid w:val="008B3CE3"/>
    <w:rsid w:val="008B7F23"/>
    <w:rsid w:val="008C0FF9"/>
    <w:rsid w:val="008C2609"/>
    <w:rsid w:val="008C42E2"/>
    <w:rsid w:val="008C6314"/>
    <w:rsid w:val="008C6D53"/>
    <w:rsid w:val="008C78DF"/>
    <w:rsid w:val="008C7C2B"/>
    <w:rsid w:val="008D2E97"/>
    <w:rsid w:val="008D413F"/>
    <w:rsid w:val="008D7010"/>
    <w:rsid w:val="008E09DB"/>
    <w:rsid w:val="008E230F"/>
    <w:rsid w:val="008E5251"/>
    <w:rsid w:val="008E5A1A"/>
    <w:rsid w:val="008F0A85"/>
    <w:rsid w:val="008F1ADE"/>
    <w:rsid w:val="009004A3"/>
    <w:rsid w:val="00906505"/>
    <w:rsid w:val="0091157E"/>
    <w:rsid w:val="00912337"/>
    <w:rsid w:val="0091304F"/>
    <w:rsid w:val="0091632F"/>
    <w:rsid w:val="00916920"/>
    <w:rsid w:val="00917F1F"/>
    <w:rsid w:val="00927736"/>
    <w:rsid w:val="00927F08"/>
    <w:rsid w:val="00932434"/>
    <w:rsid w:val="00932D21"/>
    <w:rsid w:val="0094076A"/>
    <w:rsid w:val="00941145"/>
    <w:rsid w:val="00945E0B"/>
    <w:rsid w:val="0095032C"/>
    <w:rsid w:val="00952DD3"/>
    <w:rsid w:val="0095674D"/>
    <w:rsid w:val="009572A2"/>
    <w:rsid w:val="009572F5"/>
    <w:rsid w:val="0097170E"/>
    <w:rsid w:val="009722AD"/>
    <w:rsid w:val="00974E12"/>
    <w:rsid w:val="009757E9"/>
    <w:rsid w:val="00977AF6"/>
    <w:rsid w:val="00982730"/>
    <w:rsid w:val="00984669"/>
    <w:rsid w:val="00987151"/>
    <w:rsid w:val="00990628"/>
    <w:rsid w:val="009970FE"/>
    <w:rsid w:val="009A149F"/>
    <w:rsid w:val="009A67E9"/>
    <w:rsid w:val="009A699C"/>
    <w:rsid w:val="009B018F"/>
    <w:rsid w:val="009B2256"/>
    <w:rsid w:val="009B236E"/>
    <w:rsid w:val="009B37CF"/>
    <w:rsid w:val="009C02BE"/>
    <w:rsid w:val="009D3EF1"/>
    <w:rsid w:val="009D4157"/>
    <w:rsid w:val="009D4425"/>
    <w:rsid w:val="009D4954"/>
    <w:rsid w:val="009E1213"/>
    <w:rsid w:val="009E3514"/>
    <w:rsid w:val="009E3E36"/>
    <w:rsid w:val="009E794A"/>
    <w:rsid w:val="009F48BE"/>
    <w:rsid w:val="009F4E7C"/>
    <w:rsid w:val="009F51AD"/>
    <w:rsid w:val="009F64A1"/>
    <w:rsid w:val="009F6750"/>
    <w:rsid w:val="00A06E8D"/>
    <w:rsid w:val="00A148BA"/>
    <w:rsid w:val="00A27167"/>
    <w:rsid w:val="00A30772"/>
    <w:rsid w:val="00A40134"/>
    <w:rsid w:val="00A40F49"/>
    <w:rsid w:val="00A45F7D"/>
    <w:rsid w:val="00A46A46"/>
    <w:rsid w:val="00A46E7B"/>
    <w:rsid w:val="00A502E2"/>
    <w:rsid w:val="00A5105A"/>
    <w:rsid w:val="00A537A8"/>
    <w:rsid w:val="00A54F42"/>
    <w:rsid w:val="00A62583"/>
    <w:rsid w:val="00A642B8"/>
    <w:rsid w:val="00A65B53"/>
    <w:rsid w:val="00A70259"/>
    <w:rsid w:val="00A75310"/>
    <w:rsid w:val="00A76803"/>
    <w:rsid w:val="00A7716C"/>
    <w:rsid w:val="00A82053"/>
    <w:rsid w:val="00A87017"/>
    <w:rsid w:val="00A95C17"/>
    <w:rsid w:val="00A95D6B"/>
    <w:rsid w:val="00A95EDC"/>
    <w:rsid w:val="00A97014"/>
    <w:rsid w:val="00AA2328"/>
    <w:rsid w:val="00AA3B11"/>
    <w:rsid w:val="00AA5999"/>
    <w:rsid w:val="00AB0056"/>
    <w:rsid w:val="00AB0C8C"/>
    <w:rsid w:val="00AB4647"/>
    <w:rsid w:val="00AB4840"/>
    <w:rsid w:val="00AB7FE4"/>
    <w:rsid w:val="00AC2583"/>
    <w:rsid w:val="00AC274D"/>
    <w:rsid w:val="00AC2B54"/>
    <w:rsid w:val="00AC2FE1"/>
    <w:rsid w:val="00AD2139"/>
    <w:rsid w:val="00AD6912"/>
    <w:rsid w:val="00AE269C"/>
    <w:rsid w:val="00AE3D34"/>
    <w:rsid w:val="00AF1206"/>
    <w:rsid w:val="00B0551A"/>
    <w:rsid w:val="00B1410C"/>
    <w:rsid w:val="00B21E9E"/>
    <w:rsid w:val="00B23176"/>
    <w:rsid w:val="00B300BF"/>
    <w:rsid w:val="00B31AFB"/>
    <w:rsid w:val="00B325A6"/>
    <w:rsid w:val="00B34159"/>
    <w:rsid w:val="00B3485E"/>
    <w:rsid w:val="00B37031"/>
    <w:rsid w:val="00B3784C"/>
    <w:rsid w:val="00B40E1C"/>
    <w:rsid w:val="00B446DA"/>
    <w:rsid w:val="00B518D1"/>
    <w:rsid w:val="00B51E7D"/>
    <w:rsid w:val="00B52851"/>
    <w:rsid w:val="00B52CC0"/>
    <w:rsid w:val="00B5596B"/>
    <w:rsid w:val="00B56650"/>
    <w:rsid w:val="00B61C84"/>
    <w:rsid w:val="00B662E9"/>
    <w:rsid w:val="00B677A1"/>
    <w:rsid w:val="00B771A4"/>
    <w:rsid w:val="00B77C92"/>
    <w:rsid w:val="00B80361"/>
    <w:rsid w:val="00B82EC4"/>
    <w:rsid w:val="00B84B72"/>
    <w:rsid w:val="00B861FF"/>
    <w:rsid w:val="00B94E85"/>
    <w:rsid w:val="00B96C8E"/>
    <w:rsid w:val="00BA28B1"/>
    <w:rsid w:val="00BB2DF9"/>
    <w:rsid w:val="00BB31D2"/>
    <w:rsid w:val="00BB3ACD"/>
    <w:rsid w:val="00BC210B"/>
    <w:rsid w:val="00BD1A30"/>
    <w:rsid w:val="00BD358F"/>
    <w:rsid w:val="00BD3F9E"/>
    <w:rsid w:val="00BD60A3"/>
    <w:rsid w:val="00BD63CF"/>
    <w:rsid w:val="00BD750A"/>
    <w:rsid w:val="00BE03A8"/>
    <w:rsid w:val="00BE3CD8"/>
    <w:rsid w:val="00BE4B8D"/>
    <w:rsid w:val="00BE57F2"/>
    <w:rsid w:val="00BE78AF"/>
    <w:rsid w:val="00BE7F43"/>
    <w:rsid w:val="00BF56E6"/>
    <w:rsid w:val="00BF5CD6"/>
    <w:rsid w:val="00BF5FBC"/>
    <w:rsid w:val="00C02919"/>
    <w:rsid w:val="00C0631B"/>
    <w:rsid w:val="00C07774"/>
    <w:rsid w:val="00C10BA9"/>
    <w:rsid w:val="00C1462C"/>
    <w:rsid w:val="00C151A6"/>
    <w:rsid w:val="00C159F2"/>
    <w:rsid w:val="00C15E44"/>
    <w:rsid w:val="00C20DC1"/>
    <w:rsid w:val="00C21106"/>
    <w:rsid w:val="00C227AE"/>
    <w:rsid w:val="00C23099"/>
    <w:rsid w:val="00C243D2"/>
    <w:rsid w:val="00C24EB3"/>
    <w:rsid w:val="00C26854"/>
    <w:rsid w:val="00C30751"/>
    <w:rsid w:val="00C31416"/>
    <w:rsid w:val="00C31C14"/>
    <w:rsid w:val="00C3322C"/>
    <w:rsid w:val="00C40A52"/>
    <w:rsid w:val="00C441CA"/>
    <w:rsid w:val="00C4431A"/>
    <w:rsid w:val="00C44C5E"/>
    <w:rsid w:val="00C50522"/>
    <w:rsid w:val="00C5343F"/>
    <w:rsid w:val="00C57318"/>
    <w:rsid w:val="00C6075F"/>
    <w:rsid w:val="00C67C7E"/>
    <w:rsid w:val="00C72A54"/>
    <w:rsid w:val="00C742E6"/>
    <w:rsid w:val="00C744CC"/>
    <w:rsid w:val="00C757A6"/>
    <w:rsid w:val="00C861BA"/>
    <w:rsid w:val="00C86596"/>
    <w:rsid w:val="00C8727D"/>
    <w:rsid w:val="00C901C5"/>
    <w:rsid w:val="00C95570"/>
    <w:rsid w:val="00CA0A2D"/>
    <w:rsid w:val="00CB172A"/>
    <w:rsid w:val="00CB422B"/>
    <w:rsid w:val="00CC0983"/>
    <w:rsid w:val="00CC203D"/>
    <w:rsid w:val="00CC4937"/>
    <w:rsid w:val="00CC7688"/>
    <w:rsid w:val="00CC7873"/>
    <w:rsid w:val="00CD2DA8"/>
    <w:rsid w:val="00CD32BF"/>
    <w:rsid w:val="00CD39D1"/>
    <w:rsid w:val="00CD7249"/>
    <w:rsid w:val="00CE1673"/>
    <w:rsid w:val="00CE4D20"/>
    <w:rsid w:val="00CE6A0F"/>
    <w:rsid w:val="00CF2AE0"/>
    <w:rsid w:val="00CF56F9"/>
    <w:rsid w:val="00CF642B"/>
    <w:rsid w:val="00D106AC"/>
    <w:rsid w:val="00D13309"/>
    <w:rsid w:val="00D1336F"/>
    <w:rsid w:val="00D144BF"/>
    <w:rsid w:val="00D157BC"/>
    <w:rsid w:val="00D25BBF"/>
    <w:rsid w:val="00D26CCB"/>
    <w:rsid w:val="00D42AC6"/>
    <w:rsid w:val="00D42B1A"/>
    <w:rsid w:val="00D458F9"/>
    <w:rsid w:val="00D47DEF"/>
    <w:rsid w:val="00D518FF"/>
    <w:rsid w:val="00D532C7"/>
    <w:rsid w:val="00D53F69"/>
    <w:rsid w:val="00D54B5F"/>
    <w:rsid w:val="00D55B12"/>
    <w:rsid w:val="00D6011F"/>
    <w:rsid w:val="00D62022"/>
    <w:rsid w:val="00D641BD"/>
    <w:rsid w:val="00D76682"/>
    <w:rsid w:val="00D77F0E"/>
    <w:rsid w:val="00D81BFB"/>
    <w:rsid w:val="00D839A7"/>
    <w:rsid w:val="00D84233"/>
    <w:rsid w:val="00D948F1"/>
    <w:rsid w:val="00D94C99"/>
    <w:rsid w:val="00DA06DD"/>
    <w:rsid w:val="00DA0B6E"/>
    <w:rsid w:val="00DA1F25"/>
    <w:rsid w:val="00DA3111"/>
    <w:rsid w:val="00DA543B"/>
    <w:rsid w:val="00DA5807"/>
    <w:rsid w:val="00DA5979"/>
    <w:rsid w:val="00DA6AAE"/>
    <w:rsid w:val="00DA7D6C"/>
    <w:rsid w:val="00DB477E"/>
    <w:rsid w:val="00DB5483"/>
    <w:rsid w:val="00DC67D6"/>
    <w:rsid w:val="00DC7313"/>
    <w:rsid w:val="00DD17E1"/>
    <w:rsid w:val="00DD41CF"/>
    <w:rsid w:val="00DD776C"/>
    <w:rsid w:val="00DD77F5"/>
    <w:rsid w:val="00DE4237"/>
    <w:rsid w:val="00DE476D"/>
    <w:rsid w:val="00DF0054"/>
    <w:rsid w:val="00DF0D1B"/>
    <w:rsid w:val="00DF137E"/>
    <w:rsid w:val="00DF72C0"/>
    <w:rsid w:val="00E06CA7"/>
    <w:rsid w:val="00E0713F"/>
    <w:rsid w:val="00E103AD"/>
    <w:rsid w:val="00E13625"/>
    <w:rsid w:val="00E172D3"/>
    <w:rsid w:val="00E23CD8"/>
    <w:rsid w:val="00E30007"/>
    <w:rsid w:val="00E317E5"/>
    <w:rsid w:val="00E324C1"/>
    <w:rsid w:val="00E40D38"/>
    <w:rsid w:val="00E43F17"/>
    <w:rsid w:val="00E4580D"/>
    <w:rsid w:val="00E46043"/>
    <w:rsid w:val="00E511B3"/>
    <w:rsid w:val="00E543BB"/>
    <w:rsid w:val="00E60D48"/>
    <w:rsid w:val="00E61130"/>
    <w:rsid w:val="00E63AAD"/>
    <w:rsid w:val="00E65503"/>
    <w:rsid w:val="00E74ACF"/>
    <w:rsid w:val="00E77C03"/>
    <w:rsid w:val="00E81FAE"/>
    <w:rsid w:val="00E82019"/>
    <w:rsid w:val="00E831B7"/>
    <w:rsid w:val="00E840A7"/>
    <w:rsid w:val="00E846A1"/>
    <w:rsid w:val="00E863E8"/>
    <w:rsid w:val="00E86D98"/>
    <w:rsid w:val="00E9469C"/>
    <w:rsid w:val="00E95B69"/>
    <w:rsid w:val="00E96FEF"/>
    <w:rsid w:val="00E97415"/>
    <w:rsid w:val="00E97EA3"/>
    <w:rsid w:val="00EA2867"/>
    <w:rsid w:val="00EA344F"/>
    <w:rsid w:val="00EA4038"/>
    <w:rsid w:val="00EA6663"/>
    <w:rsid w:val="00EB0213"/>
    <w:rsid w:val="00EB49AD"/>
    <w:rsid w:val="00EB5666"/>
    <w:rsid w:val="00EB60F8"/>
    <w:rsid w:val="00EC2C0A"/>
    <w:rsid w:val="00EC5FBB"/>
    <w:rsid w:val="00EC683F"/>
    <w:rsid w:val="00ED1F31"/>
    <w:rsid w:val="00ED640A"/>
    <w:rsid w:val="00EE2492"/>
    <w:rsid w:val="00EE4176"/>
    <w:rsid w:val="00EF28FE"/>
    <w:rsid w:val="00EF486B"/>
    <w:rsid w:val="00EF62E6"/>
    <w:rsid w:val="00F01F62"/>
    <w:rsid w:val="00F04F44"/>
    <w:rsid w:val="00F06243"/>
    <w:rsid w:val="00F0708D"/>
    <w:rsid w:val="00F123EF"/>
    <w:rsid w:val="00F12EBE"/>
    <w:rsid w:val="00F13460"/>
    <w:rsid w:val="00F140F5"/>
    <w:rsid w:val="00F23918"/>
    <w:rsid w:val="00F271A2"/>
    <w:rsid w:val="00F325B9"/>
    <w:rsid w:val="00F365D4"/>
    <w:rsid w:val="00F43D7D"/>
    <w:rsid w:val="00F43DAB"/>
    <w:rsid w:val="00F43E54"/>
    <w:rsid w:val="00F515E0"/>
    <w:rsid w:val="00F5286A"/>
    <w:rsid w:val="00F53914"/>
    <w:rsid w:val="00F55D34"/>
    <w:rsid w:val="00F6037B"/>
    <w:rsid w:val="00F64ABE"/>
    <w:rsid w:val="00F66609"/>
    <w:rsid w:val="00F73942"/>
    <w:rsid w:val="00F73FCD"/>
    <w:rsid w:val="00F82539"/>
    <w:rsid w:val="00F856C8"/>
    <w:rsid w:val="00F934EF"/>
    <w:rsid w:val="00F96477"/>
    <w:rsid w:val="00FA036F"/>
    <w:rsid w:val="00FA062B"/>
    <w:rsid w:val="00FA129B"/>
    <w:rsid w:val="00FA3076"/>
    <w:rsid w:val="00FA5EF3"/>
    <w:rsid w:val="00FB0D32"/>
    <w:rsid w:val="00FB2FA2"/>
    <w:rsid w:val="00FC4D83"/>
    <w:rsid w:val="00FD3372"/>
    <w:rsid w:val="00FD4DF7"/>
    <w:rsid w:val="00FE0EB8"/>
    <w:rsid w:val="00FE20FF"/>
    <w:rsid w:val="00FE7BBF"/>
    <w:rsid w:val="00FF660B"/>
    <w:rsid w:val="00FF70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CDEA5"/>
  <w15:chartTrackingRefBased/>
  <w15:docId w15:val="{65220944-D4B7-7348-87CF-554A11B3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1"/>
    <w:rPr>
      <w:sz w:val="24"/>
      <w:szCs w:val="24"/>
      <w:lang w:val="en-US" w:eastAsia="en-US"/>
    </w:rPr>
  </w:style>
  <w:style w:type="paragraph" w:styleId="Heading1">
    <w:name w:val="heading 1"/>
    <w:basedOn w:val="Normal"/>
    <w:link w:val="Heading1Char"/>
    <w:uiPriority w:val="9"/>
    <w:qFormat/>
    <w:rsid w:val="00452A9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F856C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unhideWhenUsed/>
    <w:qFormat/>
    <w:rsid w:val="006C037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6C037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C037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4797"/>
    <w:rPr>
      <w:color w:val="0000FF"/>
      <w:u w:val="single"/>
    </w:rPr>
  </w:style>
  <w:style w:type="paragraph" w:styleId="BodyText">
    <w:name w:val="Body Text"/>
    <w:basedOn w:val="Normal"/>
    <w:rsid w:val="00603646"/>
    <w:pPr>
      <w:autoSpaceDE w:val="0"/>
      <w:autoSpaceDN w:val="0"/>
      <w:adjustRightInd w:val="0"/>
      <w:jc w:val="both"/>
    </w:pPr>
    <w:rPr>
      <w:rFonts w:ascii="Bookman Old Style" w:hAnsi="Bookman Old Style" w:cs="Courier New"/>
      <w:szCs w:val="20"/>
    </w:rPr>
  </w:style>
  <w:style w:type="character" w:customStyle="1" w:styleId="Heading1Char">
    <w:name w:val="Heading 1 Char"/>
    <w:link w:val="Heading1"/>
    <w:uiPriority w:val="9"/>
    <w:rsid w:val="00452A90"/>
    <w:rPr>
      <w:b/>
      <w:bCs/>
      <w:kern w:val="36"/>
      <w:sz w:val="48"/>
      <w:szCs w:val="48"/>
    </w:rPr>
  </w:style>
  <w:style w:type="character" w:customStyle="1" w:styleId="Heading2Char">
    <w:name w:val="Heading 2 Char"/>
    <w:link w:val="Heading2"/>
    <w:uiPriority w:val="9"/>
    <w:semiHidden/>
    <w:rsid w:val="00F856C8"/>
    <w:rPr>
      <w:rFonts w:ascii="Cambria" w:eastAsia="Times New Roman" w:hAnsi="Cambria" w:cs="Times New Roman"/>
      <w:b/>
      <w:bCs/>
      <w:i/>
      <w:iCs/>
      <w:sz w:val="28"/>
      <w:szCs w:val="28"/>
      <w:lang w:val="en-US" w:eastAsia="en-US"/>
    </w:rPr>
  </w:style>
  <w:style w:type="character" w:customStyle="1" w:styleId="Heading4Char">
    <w:name w:val="Heading 4 Char"/>
    <w:link w:val="Heading4"/>
    <w:uiPriority w:val="9"/>
    <w:rsid w:val="006C037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rsid w:val="006C037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6C0378"/>
    <w:rPr>
      <w:rFonts w:ascii="Calibri" w:eastAsia="Times New Roman" w:hAnsi="Calibri" w:cs="Times New Roman"/>
      <w:b/>
      <w:bCs/>
      <w:sz w:val="22"/>
      <w:szCs w:val="22"/>
      <w:lang w:val="en-US" w:eastAsia="en-US"/>
    </w:rPr>
  </w:style>
  <w:style w:type="character" w:customStyle="1" w:styleId="apple-converted-space">
    <w:name w:val="apple-converted-space"/>
    <w:basedOn w:val="DefaultParagraphFont"/>
    <w:rsid w:val="006C0378"/>
  </w:style>
  <w:style w:type="character" w:styleId="FollowedHyperlink">
    <w:name w:val="FollowedHyperlink"/>
    <w:uiPriority w:val="99"/>
    <w:semiHidden/>
    <w:unhideWhenUsed/>
    <w:rsid w:val="002A31D8"/>
    <w:rPr>
      <w:color w:val="800080"/>
      <w:u w:val="single"/>
    </w:rPr>
  </w:style>
  <w:style w:type="paragraph" w:styleId="Header">
    <w:name w:val="header"/>
    <w:basedOn w:val="Normal"/>
    <w:link w:val="HeaderChar"/>
    <w:uiPriority w:val="99"/>
    <w:semiHidden/>
    <w:unhideWhenUsed/>
    <w:rsid w:val="00E82019"/>
    <w:pPr>
      <w:tabs>
        <w:tab w:val="center" w:pos="4513"/>
        <w:tab w:val="right" w:pos="9026"/>
      </w:tabs>
    </w:pPr>
  </w:style>
  <w:style w:type="character" w:customStyle="1" w:styleId="HeaderChar">
    <w:name w:val="Header Char"/>
    <w:link w:val="Header"/>
    <w:uiPriority w:val="99"/>
    <w:semiHidden/>
    <w:rsid w:val="00E82019"/>
    <w:rPr>
      <w:sz w:val="24"/>
      <w:szCs w:val="24"/>
      <w:lang w:val="en-US" w:eastAsia="en-US"/>
    </w:rPr>
  </w:style>
  <w:style w:type="paragraph" w:styleId="Footer">
    <w:name w:val="footer"/>
    <w:basedOn w:val="Normal"/>
    <w:link w:val="FooterChar"/>
    <w:uiPriority w:val="99"/>
    <w:unhideWhenUsed/>
    <w:rsid w:val="00E82019"/>
    <w:pPr>
      <w:tabs>
        <w:tab w:val="center" w:pos="4513"/>
        <w:tab w:val="right" w:pos="9026"/>
      </w:tabs>
    </w:pPr>
  </w:style>
  <w:style w:type="character" w:customStyle="1" w:styleId="FooterChar">
    <w:name w:val="Footer Char"/>
    <w:link w:val="Footer"/>
    <w:uiPriority w:val="99"/>
    <w:rsid w:val="00E82019"/>
    <w:rPr>
      <w:sz w:val="24"/>
      <w:szCs w:val="24"/>
      <w:lang w:val="en-US" w:eastAsia="en-US"/>
    </w:rPr>
  </w:style>
  <w:style w:type="paragraph" w:styleId="ListParagraph">
    <w:name w:val="List Paragraph"/>
    <w:basedOn w:val="Normal"/>
    <w:uiPriority w:val="34"/>
    <w:qFormat/>
    <w:rsid w:val="00C4431A"/>
    <w:pPr>
      <w:ind w:left="720"/>
      <w:contextualSpacing/>
    </w:pPr>
  </w:style>
  <w:style w:type="paragraph" w:styleId="FootnoteText">
    <w:name w:val="footnote text"/>
    <w:basedOn w:val="Normal"/>
    <w:link w:val="FootnoteTextChar"/>
    <w:uiPriority w:val="99"/>
    <w:semiHidden/>
    <w:unhideWhenUsed/>
    <w:rsid w:val="00BD63CF"/>
    <w:rPr>
      <w:sz w:val="20"/>
      <w:szCs w:val="20"/>
    </w:rPr>
  </w:style>
  <w:style w:type="character" w:customStyle="1" w:styleId="FootnoteTextChar">
    <w:name w:val="Footnote Text Char"/>
    <w:basedOn w:val="DefaultParagraphFont"/>
    <w:link w:val="FootnoteText"/>
    <w:uiPriority w:val="99"/>
    <w:semiHidden/>
    <w:rsid w:val="00BD63CF"/>
    <w:rPr>
      <w:lang w:val="en-US" w:eastAsia="en-US"/>
    </w:rPr>
  </w:style>
  <w:style w:type="character" w:styleId="FootnoteReference">
    <w:name w:val="footnote reference"/>
    <w:basedOn w:val="DefaultParagraphFont"/>
    <w:uiPriority w:val="99"/>
    <w:semiHidden/>
    <w:unhideWhenUsed/>
    <w:rsid w:val="00BD63CF"/>
    <w:rPr>
      <w:vertAlign w:val="superscript"/>
    </w:rPr>
  </w:style>
  <w:style w:type="paragraph" w:styleId="BodyText2">
    <w:name w:val="Body Text 2"/>
    <w:basedOn w:val="Normal"/>
    <w:link w:val="BodyText2Char"/>
    <w:uiPriority w:val="99"/>
    <w:semiHidden/>
    <w:unhideWhenUsed/>
    <w:rsid w:val="00781207"/>
    <w:pPr>
      <w:spacing w:after="120" w:line="480" w:lineRule="auto"/>
    </w:pPr>
  </w:style>
  <w:style w:type="character" w:customStyle="1" w:styleId="BodyText2Char">
    <w:name w:val="Body Text 2 Char"/>
    <w:basedOn w:val="DefaultParagraphFont"/>
    <w:link w:val="BodyText2"/>
    <w:uiPriority w:val="99"/>
    <w:semiHidden/>
    <w:rsid w:val="007812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8572">
      <w:bodyDiv w:val="1"/>
      <w:marLeft w:val="0"/>
      <w:marRight w:val="0"/>
      <w:marTop w:val="0"/>
      <w:marBottom w:val="0"/>
      <w:divBdr>
        <w:top w:val="none" w:sz="0" w:space="0" w:color="auto"/>
        <w:left w:val="none" w:sz="0" w:space="0" w:color="auto"/>
        <w:bottom w:val="none" w:sz="0" w:space="0" w:color="auto"/>
        <w:right w:val="none" w:sz="0" w:space="0" w:color="auto"/>
      </w:divBdr>
    </w:div>
    <w:div w:id="747191567">
      <w:bodyDiv w:val="1"/>
      <w:marLeft w:val="0"/>
      <w:marRight w:val="0"/>
      <w:marTop w:val="0"/>
      <w:marBottom w:val="0"/>
      <w:divBdr>
        <w:top w:val="none" w:sz="0" w:space="0" w:color="auto"/>
        <w:left w:val="none" w:sz="0" w:space="0" w:color="auto"/>
        <w:bottom w:val="none" w:sz="0" w:space="0" w:color="auto"/>
        <w:right w:val="none" w:sz="0" w:space="0" w:color="auto"/>
      </w:divBdr>
    </w:div>
    <w:div w:id="1274678433">
      <w:bodyDiv w:val="1"/>
      <w:marLeft w:val="0"/>
      <w:marRight w:val="0"/>
      <w:marTop w:val="0"/>
      <w:marBottom w:val="0"/>
      <w:divBdr>
        <w:top w:val="none" w:sz="0" w:space="0" w:color="auto"/>
        <w:left w:val="none" w:sz="0" w:space="0" w:color="auto"/>
        <w:bottom w:val="none" w:sz="0" w:space="0" w:color="auto"/>
        <w:right w:val="none" w:sz="0" w:space="0" w:color="auto"/>
      </w:divBdr>
    </w:div>
    <w:div w:id="1528713611">
      <w:bodyDiv w:val="1"/>
      <w:marLeft w:val="0"/>
      <w:marRight w:val="0"/>
      <w:marTop w:val="0"/>
      <w:marBottom w:val="0"/>
      <w:divBdr>
        <w:top w:val="none" w:sz="0" w:space="0" w:color="auto"/>
        <w:left w:val="none" w:sz="0" w:space="0" w:color="auto"/>
        <w:bottom w:val="none" w:sz="0" w:space="0" w:color="auto"/>
        <w:right w:val="none" w:sz="0" w:space="0" w:color="auto"/>
      </w:divBdr>
    </w:div>
    <w:div w:id="1901557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AF29-28EF-9549-A1DC-A01DD997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15</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31343</CharactersWithSpaces>
  <SharedDoc>false</SharedDoc>
  <HLinks>
    <vt:vector size="6" baseType="variant">
      <vt:variant>
        <vt:i4>6291512</vt:i4>
      </vt:variant>
      <vt:variant>
        <vt:i4>0</vt:i4>
      </vt:variant>
      <vt:variant>
        <vt:i4>0</vt:i4>
      </vt:variant>
      <vt:variant>
        <vt:i4>5</vt:i4>
      </vt:variant>
      <vt:variant>
        <vt:lpwstr>http://www.dgshipping.com/dgship/final/rules/carriage_cargo_1995.htm</vt:lpwstr>
      </vt:variant>
      <vt:variant>
        <vt:lpwstr>SECOND SCHEDULE#SECOND SCHEDULE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Kapoor</dc:creator>
  <cp:keywords/>
  <cp:lastModifiedBy>Vikram Singh Manhas</cp:lastModifiedBy>
  <cp:revision>23</cp:revision>
  <cp:lastPrinted>2017-05-18T13:00:00Z</cp:lastPrinted>
  <dcterms:created xsi:type="dcterms:W3CDTF">2025-10-12T14:13:00Z</dcterms:created>
  <dcterms:modified xsi:type="dcterms:W3CDTF">2025-10-18T10:37:00Z</dcterms:modified>
</cp:coreProperties>
</file>