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70A2" w14:textId="045F9D1B" w:rsidR="00C3307D" w:rsidRPr="00734790" w:rsidRDefault="00C3307D" w:rsidP="00734790">
      <w:pPr>
        <w:spacing w:before="100" w:beforeAutospacing="1" w:after="100" w:afterAutospacing="1" w:line="360" w:lineRule="auto"/>
        <w:jc w:val="center"/>
        <w:rPr>
          <w:rFonts w:ascii="Times New Roman" w:eastAsia="Times New Roman" w:hAnsi="Times New Roman" w:cs="Times New Roman"/>
          <w:sz w:val="24"/>
          <w:szCs w:val="24"/>
        </w:rPr>
      </w:pPr>
      <w:r w:rsidRPr="00734790">
        <w:rPr>
          <w:rFonts w:ascii="Times New Roman" w:eastAsia="Times New Roman" w:hAnsi="Times New Roman" w:cs="Times New Roman"/>
          <w:b/>
          <w:bCs/>
          <w:sz w:val="24"/>
          <w:szCs w:val="24"/>
        </w:rPr>
        <w:t>MINISTRY O</w:t>
      </w:r>
      <w:r w:rsidR="000830D2" w:rsidRPr="00734790">
        <w:rPr>
          <w:rFonts w:ascii="Times New Roman" w:eastAsia="Times New Roman" w:hAnsi="Times New Roman" w:cs="Times New Roman"/>
          <w:b/>
          <w:bCs/>
          <w:sz w:val="24"/>
          <w:szCs w:val="24"/>
        </w:rPr>
        <w:t>F PORTS, SHIPPING AND WATERWAYS</w:t>
      </w:r>
      <w:r w:rsidRPr="00734790">
        <w:rPr>
          <w:rFonts w:ascii="Times New Roman" w:eastAsia="Times New Roman" w:hAnsi="Times New Roman" w:cs="Times New Roman"/>
          <w:b/>
          <w:bCs/>
          <w:sz w:val="24"/>
          <w:szCs w:val="24"/>
        </w:rPr>
        <w:br/>
      </w:r>
      <w:r w:rsidR="00326255" w:rsidRPr="00734790">
        <w:rPr>
          <w:rFonts w:ascii="Times New Roman" w:eastAsia="Times New Roman" w:hAnsi="Times New Roman" w:cs="Times New Roman"/>
          <w:b/>
          <w:bCs/>
          <w:sz w:val="24"/>
          <w:szCs w:val="24"/>
        </w:rPr>
        <w:t>New Delhi,</w:t>
      </w:r>
      <w:r w:rsidR="00326255" w:rsidRPr="00734790">
        <w:rPr>
          <w:rFonts w:ascii="Times New Roman" w:eastAsia="Times New Roman" w:hAnsi="Times New Roman" w:cs="Times New Roman"/>
          <w:sz w:val="24"/>
          <w:szCs w:val="24"/>
        </w:rPr>
        <w:t xml:space="preserve"> </w:t>
      </w:r>
      <w:r w:rsidR="000830D2" w:rsidRPr="00734790">
        <w:rPr>
          <w:rFonts w:ascii="Times New Roman" w:eastAsia="Times New Roman" w:hAnsi="Times New Roman" w:cs="Times New Roman"/>
          <w:b/>
          <w:sz w:val="24"/>
          <w:szCs w:val="24"/>
          <w:lang w:eastAsia="en-IN"/>
        </w:rPr>
        <w:t xml:space="preserve">the </w:t>
      </w:r>
      <w:r w:rsidR="0078722E">
        <w:rPr>
          <w:rFonts w:ascii="Times New Roman" w:eastAsia="Times New Roman" w:hAnsi="Times New Roman" w:cs="Times New Roman"/>
          <w:b/>
          <w:sz w:val="24"/>
          <w:szCs w:val="24"/>
          <w:lang w:eastAsia="en-IN"/>
        </w:rPr>
        <w:t>12</w:t>
      </w:r>
      <w:r w:rsidR="000830D2" w:rsidRPr="0078722E">
        <w:rPr>
          <w:rFonts w:ascii="Times New Roman" w:eastAsia="Times New Roman" w:hAnsi="Times New Roman" w:cs="Times New Roman"/>
          <w:b/>
          <w:sz w:val="24"/>
          <w:szCs w:val="24"/>
          <w:vertAlign w:val="superscript"/>
          <w:lang w:eastAsia="en-IN"/>
        </w:rPr>
        <w:t>th</w:t>
      </w:r>
      <w:r w:rsidR="0078722E">
        <w:rPr>
          <w:rFonts w:ascii="Times New Roman" w:eastAsia="Times New Roman" w:hAnsi="Times New Roman" w:cs="Times New Roman"/>
          <w:b/>
          <w:sz w:val="24"/>
          <w:szCs w:val="24"/>
          <w:lang w:eastAsia="en-IN"/>
        </w:rPr>
        <w:t xml:space="preserve"> December</w:t>
      </w:r>
      <w:r w:rsidR="000830D2" w:rsidRPr="00734790">
        <w:rPr>
          <w:rFonts w:ascii="Times New Roman" w:eastAsia="Times New Roman" w:hAnsi="Times New Roman" w:cs="Times New Roman"/>
          <w:b/>
          <w:sz w:val="24"/>
          <w:szCs w:val="24"/>
          <w:lang w:eastAsia="en-IN"/>
        </w:rPr>
        <w:t>, 2025</w:t>
      </w:r>
    </w:p>
    <w:p w14:paraId="6290A648" w14:textId="74A5B395" w:rsidR="00C3307D" w:rsidRPr="00734790" w:rsidRDefault="00C3307D" w:rsidP="0078722E">
      <w:pPr>
        <w:spacing w:before="100" w:beforeAutospacing="1" w:after="100" w:afterAutospacing="1" w:line="360" w:lineRule="auto"/>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 xml:space="preserve">G.S.R. </w:t>
      </w:r>
      <w:r w:rsidR="007A05B8" w:rsidRPr="00734790">
        <w:rPr>
          <w:rFonts w:ascii="Times New Roman" w:eastAsia="Times New Roman" w:hAnsi="Times New Roman" w:cs="Times New Roman"/>
          <w:sz w:val="24"/>
          <w:szCs w:val="24"/>
        </w:rPr>
        <w:t xml:space="preserve"> XX</w:t>
      </w:r>
      <w:r w:rsidR="007A05B8" w:rsidRPr="00734790">
        <w:rPr>
          <w:rFonts w:ascii="Times New Roman" w:eastAsia="Times New Roman" w:hAnsi="Times New Roman" w:cs="Times New Roman"/>
          <w:b/>
          <w:bCs/>
          <w:sz w:val="24"/>
          <w:szCs w:val="24"/>
        </w:rPr>
        <w:t xml:space="preserve"> </w:t>
      </w:r>
      <w:r w:rsidRPr="00734790">
        <w:rPr>
          <w:rFonts w:ascii="Times New Roman" w:eastAsia="Times New Roman" w:hAnsi="Times New Roman" w:cs="Times New Roman"/>
          <w:sz w:val="24"/>
          <w:szCs w:val="24"/>
        </w:rPr>
        <w:t>—</w:t>
      </w:r>
      <w:r w:rsidR="00DA5669" w:rsidRPr="00734790">
        <w:rPr>
          <w:rFonts w:ascii="Times New Roman" w:eastAsia="Times New Roman" w:hAnsi="Times New Roman" w:cs="Times New Roman"/>
          <w:sz w:val="24"/>
          <w:szCs w:val="24"/>
        </w:rPr>
        <w:t xml:space="preserve"> </w:t>
      </w:r>
      <w:r w:rsidRPr="00734790">
        <w:rPr>
          <w:rFonts w:ascii="Times New Roman" w:eastAsia="Times New Roman" w:hAnsi="Times New Roman" w:cs="Times New Roman"/>
          <w:sz w:val="24"/>
          <w:szCs w:val="24"/>
        </w:rPr>
        <w:t>In exercise of the powers conferred by Section 13</w:t>
      </w:r>
      <w:r w:rsidR="007A07AB" w:rsidRPr="00734790">
        <w:rPr>
          <w:rFonts w:ascii="Times New Roman" w:eastAsia="Times New Roman" w:hAnsi="Times New Roman" w:cs="Times New Roman"/>
          <w:sz w:val="24"/>
          <w:szCs w:val="24"/>
        </w:rPr>
        <w:t xml:space="preserve">, </w:t>
      </w:r>
      <w:r w:rsidR="007A07AB" w:rsidRPr="00734790">
        <w:rPr>
          <w:rFonts w:ascii="Times New Roman" w:eastAsia="Times New Roman" w:hAnsi="Times New Roman" w:cs="Times New Roman"/>
          <w:sz w:val="24"/>
          <w:szCs w:val="24"/>
          <w:lang w:val="en-IN"/>
        </w:rPr>
        <w:t xml:space="preserve">sub-section (1) </w:t>
      </w:r>
      <w:r w:rsidR="0078722E">
        <w:rPr>
          <w:rFonts w:ascii="Times New Roman" w:eastAsia="Times New Roman" w:hAnsi="Times New Roman" w:cs="Times New Roman"/>
          <w:sz w:val="24"/>
          <w:szCs w:val="24"/>
          <w:lang w:val="en-IN"/>
        </w:rPr>
        <w:t>and</w:t>
      </w:r>
      <w:r w:rsidR="007A07AB" w:rsidRPr="00734790">
        <w:rPr>
          <w:rFonts w:ascii="Times New Roman" w:eastAsia="Times New Roman" w:hAnsi="Times New Roman" w:cs="Times New Roman"/>
          <w:sz w:val="24"/>
          <w:szCs w:val="24"/>
          <w:lang w:val="en-IN"/>
        </w:rPr>
        <w:t xml:space="preserve"> sub-section (1) and clause (c), (d) and (p) of sub-section (2) of section 319</w:t>
      </w:r>
      <w:r w:rsidR="007A07AB" w:rsidRPr="00734790">
        <w:rPr>
          <w:rFonts w:ascii="Times New Roman" w:eastAsia="Times New Roman" w:hAnsi="Times New Roman" w:cs="Times New Roman"/>
          <w:i/>
          <w:iCs/>
          <w:sz w:val="24"/>
          <w:szCs w:val="24"/>
          <w:lang w:val="en-IN"/>
        </w:rPr>
        <w:t xml:space="preserve"> </w:t>
      </w:r>
      <w:r w:rsidRPr="00734790">
        <w:rPr>
          <w:rFonts w:ascii="Times New Roman" w:eastAsia="Times New Roman" w:hAnsi="Times New Roman" w:cs="Times New Roman"/>
          <w:sz w:val="24"/>
          <w:szCs w:val="24"/>
        </w:rPr>
        <w:t xml:space="preserve">of the Merchant Shipping Act, 2025 </w:t>
      </w:r>
      <w:r w:rsidR="000830D2" w:rsidRPr="00734790">
        <w:rPr>
          <w:rFonts w:ascii="Times New Roman" w:eastAsia="Times New Roman" w:hAnsi="Times New Roman" w:cs="Times New Roman"/>
          <w:sz w:val="24"/>
          <w:szCs w:val="24"/>
          <w:lang w:eastAsia="en-IN"/>
        </w:rPr>
        <w:t>(24 of 2025)</w:t>
      </w:r>
      <w:r w:rsidRPr="00734790">
        <w:rPr>
          <w:rFonts w:ascii="Times New Roman" w:eastAsia="Times New Roman" w:hAnsi="Times New Roman" w:cs="Times New Roman"/>
          <w:sz w:val="24"/>
          <w:szCs w:val="24"/>
        </w:rPr>
        <w:t>, the Central Government hereby mak</w:t>
      </w:r>
      <w:r w:rsidR="0091155D" w:rsidRPr="00734790">
        <w:rPr>
          <w:rFonts w:ascii="Times New Roman" w:eastAsia="Times New Roman" w:hAnsi="Times New Roman" w:cs="Times New Roman"/>
          <w:sz w:val="24"/>
          <w:szCs w:val="24"/>
        </w:rPr>
        <w:t>es the following rules, namely:</w:t>
      </w:r>
    </w:p>
    <w:p w14:paraId="6247F12C" w14:textId="77777777" w:rsidR="00C3307D" w:rsidRPr="00734790" w:rsidRDefault="005F5F73" w:rsidP="00DA5669">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734790">
        <w:rPr>
          <w:rFonts w:ascii="Times New Roman" w:eastAsia="Times New Roman" w:hAnsi="Times New Roman" w:cs="Times New Roman"/>
          <w:b/>
          <w:bCs/>
          <w:sz w:val="24"/>
          <w:szCs w:val="24"/>
        </w:rPr>
        <w:t xml:space="preserve">CHAPTER I </w:t>
      </w:r>
      <w:r w:rsidRPr="00734790">
        <w:rPr>
          <w:rFonts w:ascii="Times New Roman" w:eastAsia="Times New Roman" w:hAnsi="Times New Roman" w:cs="Times New Roman"/>
          <w:b/>
          <w:bCs/>
          <w:sz w:val="24"/>
          <w:szCs w:val="24"/>
        </w:rPr>
        <w:br/>
      </w:r>
      <w:r w:rsidR="00C3307D" w:rsidRPr="00734790">
        <w:rPr>
          <w:rFonts w:ascii="Times New Roman" w:eastAsia="Times New Roman" w:hAnsi="Times New Roman" w:cs="Times New Roman"/>
          <w:b/>
          <w:bCs/>
          <w:sz w:val="24"/>
          <w:szCs w:val="24"/>
        </w:rPr>
        <w:t>PRELIMINARY</w:t>
      </w:r>
    </w:p>
    <w:p w14:paraId="7CFC0231" w14:textId="77777777" w:rsidR="00EC3B4F" w:rsidRPr="00734790" w:rsidRDefault="00FA6054" w:rsidP="00B40A19">
      <w:pPr>
        <w:pStyle w:val="NormalWeb"/>
        <w:spacing w:line="360" w:lineRule="auto"/>
        <w:jc w:val="both"/>
      </w:pPr>
      <w:r w:rsidRPr="00734790">
        <w:rPr>
          <w:rStyle w:val="Strong"/>
        </w:rPr>
        <w:t xml:space="preserve">1. </w:t>
      </w:r>
      <w:r w:rsidR="00EC3B4F" w:rsidRPr="00734790">
        <w:rPr>
          <w:rStyle w:val="Strong"/>
        </w:rPr>
        <w:t xml:space="preserve">Short Title, Commencement, and </w:t>
      </w:r>
      <w:r w:rsidR="00A1184E" w:rsidRPr="00734790">
        <w:rPr>
          <w:rStyle w:val="Strong"/>
        </w:rPr>
        <w:t xml:space="preserve">Application </w:t>
      </w:r>
    </w:p>
    <w:p w14:paraId="6AED1081" w14:textId="150F6F5E" w:rsidR="00EC3B4F" w:rsidRPr="00734790" w:rsidRDefault="00A1184E" w:rsidP="00B40A19">
      <w:pPr>
        <w:pStyle w:val="NormalWeb"/>
        <w:numPr>
          <w:ilvl w:val="0"/>
          <w:numId w:val="4"/>
        </w:numPr>
        <w:spacing w:line="360" w:lineRule="auto"/>
        <w:jc w:val="both"/>
      </w:pPr>
      <w:r w:rsidRPr="00734790">
        <w:rPr>
          <w:rStyle w:val="Strong"/>
        </w:rPr>
        <w:t>Short Title</w:t>
      </w:r>
      <w:r w:rsidRPr="00734790">
        <w:t xml:space="preserve">. - </w:t>
      </w:r>
      <w:r w:rsidR="00EC3B4F" w:rsidRPr="00734790">
        <w:t xml:space="preserve">These Rules may be called the </w:t>
      </w:r>
      <w:r w:rsidR="00C34DDE" w:rsidRPr="00734790">
        <w:rPr>
          <w:rStyle w:val="Strong"/>
          <w:b w:val="0"/>
          <w:bCs w:val="0"/>
        </w:rPr>
        <w:t>Bureau of Port Security</w:t>
      </w:r>
      <w:r w:rsidR="00EC3B4F" w:rsidRPr="00734790">
        <w:rPr>
          <w:rStyle w:val="Strong"/>
          <w:b w:val="0"/>
          <w:bCs w:val="0"/>
        </w:rPr>
        <w:t xml:space="preserve"> Rules, 202</w:t>
      </w:r>
      <w:r w:rsidR="0078722E">
        <w:rPr>
          <w:rStyle w:val="Strong"/>
          <w:b w:val="0"/>
          <w:bCs w:val="0"/>
        </w:rPr>
        <w:t>6</w:t>
      </w:r>
      <w:r w:rsidR="00EC3B4F" w:rsidRPr="00734790">
        <w:t>.</w:t>
      </w:r>
    </w:p>
    <w:p w14:paraId="239F04B3" w14:textId="77777777" w:rsidR="00EC3B4F" w:rsidRPr="00734790" w:rsidRDefault="00A1184E" w:rsidP="00B40A19">
      <w:pPr>
        <w:pStyle w:val="NormalWeb"/>
        <w:numPr>
          <w:ilvl w:val="0"/>
          <w:numId w:val="4"/>
        </w:numPr>
        <w:spacing w:line="360" w:lineRule="auto"/>
        <w:jc w:val="both"/>
      </w:pPr>
      <w:r w:rsidRPr="00734790">
        <w:rPr>
          <w:b/>
          <w:bCs/>
        </w:rPr>
        <w:t>Commencement</w:t>
      </w:r>
      <w:r w:rsidR="005F5F73" w:rsidRPr="00734790">
        <w:rPr>
          <w:b/>
          <w:bCs/>
        </w:rPr>
        <w:t>.</w:t>
      </w:r>
      <w:r w:rsidRPr="00734790">
        <w:t xml:space="preserve"> - </w:t>
      </w:r>
      <w:r w:rsidR="00EC3B4F" w:rsidRPr="00734790">
        <w:t>They shall come into force on the date of their publication in the Official Gazette.</w:t>
      </w:r>
    </w:p>
    <w:p w14:paraId="268406CB" w14:textId="368C33A7" w:rsidR="00867DD4" w:rsidRPr="00734790" w:rsidRDefault="00A1184E" w:rsidP="00B40A19">
      <w:pPr>
        <w:pStyle w:val="NormalWeb"/>
        <w:numPr>
          <w:ilvl w:val="0"/>
          <w:numId w:val="4"/>
        </w:numPr>
        <w:spacing w:line="360" w:lineRule="auto"/>
        <w:jc w:val="both"/>
      </w:pPr>
      <w:r w:rsidRPr="00734790">
        <w:rPr>
          <w:b/>
          <w:bCs/>
        </w:rPr>
        <w:t>Application</w:t>
      </w:r>
      <w:r w:rsidR="005F5F73" w:rsidRPr="00734790">
        <w:rPr>
          <w:b/>
          <w:bCs/>
        </w:rPr>
        <w:t>.</w:t>
      </w:r>
      <w:r w:rsidRPr="00734790">
        <w:t xml:space="preserve"> -</w:t>
      </w:r>
      <w:r w:rsidR="00A975C9" w:rsidRPr="00734790">
        <w:t xml:space="preserve"> </w:t>
      </w:r>
      <w:r w:rsidR="00AC6A8E" w:rsidRPr="00734790">
        <w:t xml:space="preserve"> </w:t>
      </w:r>
      <w:r w:rsidR="00867DD4" w:rsidRPr="00734790">
        <w:t>These Rules shall apply to the functioning and operations of the Bureau</w:t>
      </w:r>
      <w:r w:rsidR="00AA73F7">
        <w:t xml:space="preserve"> of Port Security</w:t>
      </w:r>
      <w:r w:rsidR="00867DD4" w:rsidRPr="00734790">
        <w:t xml:space="preserve"> in relation to the security of </w:t>
      </w:r>
      <w:r w:rsidR="0029530D">
        <w:t xml:space="preserve">vessels and </w:t>
      </w:r>
      <w:r w:rsidR="00867DD4" w:rsidRPr="00734790">
        <w:t xml:space="preserve">port facilities, as may be determined </w:t>
      </w:r>
      <w:r w:rsidR="005E31E0">
        <w:t xml:space="preserve">or </w:t>
      </w:r>
      <w:r w:rsidR="00867DD4" w:rsidRPr="00734790">
        <w:t>notified by the</w:t>
      </w:r>
      <w:r w:rsidR="00207832">
        <w:t xml:space="preserve"> Central Government under sub-section</w:t>
      </w:r>
      <w:r w:rsidR="00867DD4" w:rsidRPr="00734790">
        <w:t xml:space="preserve"> (39) of section 3 of the Act; and for that </w:t>
      </w:r>
      <w:r w:rsidR="00AA73F7" w:rsidRPr="00734790">
        <w:t>purpose,</w:t>
      </w:r>
      <w:r w:rsidR="00867DD4" w:rsidRPr="00734790">
        <w:t xml:space="preserve"> shall extend to—</w:t>
      </w:r>
    </w:p>
    <w:p w14:paraId="32056354" w14:textId="764845C8" w:rsidR="00867DD4" w:rsidRDefault="00AA73F7" w:rsidP="00943BA0">
      <w:pPr>
        <w:pStyle w:val="NormalWeb"/>
        <w:numPr>
          <w:ilvl w:val="0"/>
          <w:numId w:val="27"/>
        </w:numPr>
        <w:spacing w:line="360" w:lineRule="auto"/>
        <w:jc w:val="both"/>
      </w:pPr>
      <w:r>
        <w:t xml:space="preserve">Indian </w:t>
      </w:r>
      <w:r w:rsidR="00867DD4" w:rsidRPr="00734790">
        <w:t>port facilities, as det</w:t>
      </w:r>
      <w:r w:rsidR="00C16D0F">
        <w:t>ermined or notified under sub-section</w:t>
      </w:r>
      <w:r w:rsidR="00867DD4" w:rsidRPr="00734790">
        <w:t xml:space="preserve"> (39) of section 3;</w:t>
      </w:r>
    </w:p>
    <w:p w14:paraId="13C04F3B" w14:textId="2FE22E6D" w:rsidR="00867DD4" w:rsidRPr="00734790" w:rsidRDefault="00867DD4" w:rsidP="00B40A19">
      <w:pPr>
        <w:pStyle w:val="NormalWeb"/>
        <w:spacing w:line="360" w:lineRule="auto"/>
        <w:ind w:left="720"/>
        <w:jc w:val="both"/>
      </w:pPr>
      <w:r w:rsidRPr="00734790">
        <w:t>(b) areas within such port facilities that are relevant to port-side security measures</w:t>
      </w:r>
      <w:r w:rsidR="005E31E0">
        <w:t>, and interface between vessels</w:t>
      </w:r>
      <w:r w:rsidRPr="00734790">
        <w:t xml:space="preserve"> </w:t>
      </w:r>
      <w:r w:rsidR="005E31E0">
        <w:t xml:space="preserve">or </w:t>
      </w:r>
      <w:r w:rsidR="006C4BA8" w:rsidRPr="00734790">
        <w:t>vessel</w:t>
      </w:r>
      <w:r w:rsidR="005E31E0">
        <w:t xml:space="preserve"> and </w:t>
      </w:r>
      <w:r w:rsidR="006C4BA8" w:rsidRPr="00734790">
        <w:t>port</w:t>
      </w:r>
      <w:r w:rsidR="005E31E0">
        <w:t xml:space="preserve"> facility</w:t>
      </w:r>
      <w:r w:rsidRPr="00734790">
        <w:t xml:space="preserve">, without </w:t>
      </w:r>
      <w:r w:rsidR="005E31E0">
        <w:t>any overlap on</w:t>
      </w:r>
      <w:r w:rsidRPr="00734790">
        <w:t xml:space="preserve"> shipboard security functions</w:t>
      </w:r>
      <w:r w:rsidR="005E31E0">
        <w:t xml:space="preserve"> which are covered under the MS (SPS) Rules</w:t>
      </w:r>
      <w:r w:rsidRPr="00734790">
        <w:t>; and</w:t>
      </w:r>
    </w:p>
    <w:p w14:paraId="53AC495F" w14:textId="39F3D574" w:rsidR="00867DD4" w:rsidRPr="00734790" w:rsidRDefault="00867DD4" w:rsidP="00B40A19">
      <w:pPr>
        <w:pStyle w:val="NormalWeb"/>
        <w:spacing w:line="360" w:lineRule="auto"/>
        <w:ind w:left="720"/>
        <w:jc w:val="both"/>
      </w:pPr>
      <w:r w:rsidRPr="00734790">
        <w:t xml:space="preserve">(c) any </w:t>
      </w:r>
      <w:r w:rsidR="005E31E0">
        <w:t xml:space="preserve">other </w:t>
      </w:r>
      <w:r w:rsidRPr="00734790">
        <w:t>location or area notified by the Central Government as forming part of a port facility for the purposes of security under section 13 of the Act.</w:t>
      </w:r>
    </w:p>
    <w:p w14:paraId="1387B188" w14:textId="77777777" w:rsidR="00C56C6D" w:rsidRPr="00734790" w:rsidRDefault="00FA6054" w:rsidP="00B40A19">
      <w:pPr>
        <w:spacing w:before="240" w:after="240" w:line="360" w:lineRule="auto"/>
        <w:jc w:val="both"/>
        <w:outlineLvl w:val="2"/>
        <w:rPr>
          <w:rFonts w:ascii="Times New Roman" w:eastAsia="Times New Roman" w:hAnsi="Times New Roman" w:cs="Times New Roman"/>
          <w:b/>
          <w:bCs/>
          <w:sz w:val="24"/>
          <w:szCs w:val="24"/>
        </w:rPr>
      </w:pPr>
      <w:r w:rsidRPr="00734790">
        <w:rPr>
          <w:rFonts w:ascii="Times New Roman" w:eastAsia="Times New Roman" w:hAnsi="Times New Roman" w:cs="Times New Roman"/>
          <w:b/>
          <w:bCs/>
          <w:sz w:val="24"/>
          <w:szCs w:val="24"/>
        </w:rPr>
        <w:t>2.</w:t>
      </w:r>
      <w:r w:rsidR="00C56C6D" w:rsidRPr="00734790">
        <w:rPr>
          <w:rFonts w:ascii="Times New Roman" w:eastAsia="Times New Roman" w:hAnsi="Times New Roman" w:cs="Times New Roman"/>
          <w:b/>
          <w:bCs/>
          <w:sz w:val="24"/>
          <w:szCs w:val="24"/>
        </w:rPr>
        <w:t xml:space="preserve"> Definitions</w:t>
      </w:r>
    </w:p>
    <w:p w14:paraId="57B27716" w14:textId="77777777" w:rsidR="00C56C6D" w:rsidRPr="00734790" w:rsidRDefault="00C56C6D" w:rsidP="00B40A1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In these Rules, unless the context otherwise requires—</w:t>
      </w:r>
    </w:p>
    <w:p w14:paraId="748F682C" w14:textId="77777777" w:rsidR="00E95175" w:rsidRDefault="00E95175" w:rsidP="00B40A19">
      <w:pPr>
        <w:pStyle w:val="NormalWeb"/>
        <w:spacing w:line="360" w:lineRule="auto"/>
        <w:ind w:left="720"/>
        <w:jc w:val="both"/>
      </w:pPr>
      <w:r w:rsidRPr="00734790">
        <w:rPr>
          <w:rStyle w:val="Strong"/>
          <w:b w:val="0"/>
          <w:bCs w:val="0"/>
        </w:rPr>
        <w:t>(a)</w:t>
      </w:r>
      <w:r w:rsidRPr="00734790">
        <w:t xml:space="preserve"> “Act” means the Merchant Shipping Act, 2025 (24 of 2025);</w:t>
      </w:r>
    </w:p>
    <w:p w14:paraId="133E6877" w14:textId="77777777" w:rsidR="009F3570" w:rsidRDefault="009F3570" w:rsidP="00B40A19">
      <w:pPr>
        <w:pStyle w:val="NormalWeb"/>
        <w:spacing w:line="360" w:lineRule="auto"/>
        <w:ind w:left="720"/>
        <w:jc w:val="both"/>
      </w:pPr>
    </w:p>
    <w:p w14:paraId="7CFEA76A" w14:textId="77777777" w:rsidR="009F3570" w:rsidRPr="00734790" w:rsidRDefault="009F3570" w:rsidP="00B40A19">
      <w:pPr>
        <w:pStyle w:val="NormalWeb"/>
        <w:spacing w:line="360" w:lineRule="auto"/>
        <w:ind w:left="720"/>
        <w:jc w:val="both"/>
      </w:pPr>
    </w:p>
    <w:p w14:paraId="5D775D3A" w14:textId="1793EA5B" w:rsidR="009F3570" w:rsidRDefault="00E95175" w:rsidP="00B40A19">
      <w:pPr>
        <w:pStyle w:val="NormalWeb"/>
        <w:spacing w:line="360" w:lineRule="auto"/>
        <w:ind w:left="720"/>
        <w:jc w:val="both"/>
      </w:pPr>
      <w:r w:rsidRPr="00734790">
        <w:rPr>
          <w:rStyle w:val="Strong"/>
          <w:b w:val="0"/>
          <w:bCs w:val="0"/>
        </w:rPr>
        <w:t>(b)</w:t>
      </w:r>
      <w:r w:rsidRPr="00734790">
        <w:t xml:space="preserve"> </w:t>
      </w:r>
      <w:r w:rsidR="009F3570">
        <w:t>“</w:t>
      </w:r>
      <w:r w:rsidR="009F3570" w:rsidRPr="00F725B9">
        <w:t>Administration</w:t>
      </w:r>
      <w:r w:rsidR="009F3570">
        <w:t>”</w:t>
      </w:r>
      <w:r w:rsidR="009F3570" w:rsidRPr="00F725B9">
        <w:t xml:space="preserve"> mean</w:t>
      </w:r>
      <w:r w:rsidR="009F3570">
        <w:t>s</w:t>
      </w:r>
      <w:r w:rsidR="009F3570" w:rsidRPr="00F725B9">
        <w:t xml:space="preserve"> the "Central Government" in exercise of powers under the Act administering through Director General of Maritime Administration</w:t>
      </w:r>
      <w:r w:rsidR="009F3570">
        <w:t xml:space="preserve"> defined in clause (16) of section 3 of the Act</w:t>
      </w:r>
    </w:p>
    <w:p w14:paraId="3C9C5061" w14:textId="2BE08429" w:rsidR="00E95175" w:rsidRPr="00734790" w:rsidRDefault="009F3570" w:rsidP="00B40A19">
      <w:pPr>
        <w:pStyle w:val="NormalWeb"/>
        <w:spacing w:line="360" w:lineRule="auto"/>
        <w:ind w:left="720"/>
        <w:jc w:val="both"/>
      </w:pPr>
      <w:r>
        <w:t xml:space="preserve">(c) </w:t>
      </w:r>
      <w:r w:rsidR="00E95175" w:rsidRPr="00734790">
        <w:t>“</w:t>
      </w:r>
      <w:r w:rsidR="005E31E0">
        <w:t>Central Government</w:t>
      </w:r>
      <w:r w:rsidR="00E95175" w:rsidRPr="00734790">
        <w:t>” means the Ministry of Ports, Shipping and Waterways, Government of India, under which the Bureau is constituted under sub-section (1) of section 13 of the Act;</w:t>
      </w:r>
    </w:p>
    <w:p w14:paraId="53C45E65" w14:textId="6F181AA9" w:rsidR="00E95175" w:rsidRPr="00734790" w:rsidRDefault="00E95175" w:rsidP="00B40A19">
      <w:pPr>
        <w:pStyle w:val="NormalWeb"/>
        <w:spacing w:line="360" w:lineRule="auto"/>
        <w:ind w:left="720"/>
        <w:jc w:val="both"/>
      </w:pPr>
      <w:r w:rsidRPr="00734790">
        <w:rPr>
          <w:rStyle w:val="Strong"/>
          <w:b w:val="0"/>
          <w:bCs w:val="0"/>
        </w:rPr>
        <w:t>(</w:t>
      </w:r>
      <w:r w:rsidR="009F3570">
        <w:rPr>
          <w:rStyle w:val="Strong"/>
          <w:b w:val="0"/>
          <w:bCs w:val="0"/>
        </w:rPr>
        <w:t>d</w:t>
      </w:r>
      <w:r w:rsidRPr="00734790">
        <w:rPr>
          <w:rStyle w:val="Strong"/>
          <w:b w:val="0"/>
          <w:bCs w:val="0"/>
        </w:rPr>
        <w:t>)</w:t>
      </w:r>
      <w:r w:rsidRPr="00734790">
        <w:t xml:space="preserve"> “Bureau” means th</w:t>
      </w:r>
      <w:r w:rsidR="00C34DDE" w:rsidRPr="00734790">
        <w:t>e Bureau of Port Security</w:t>
      </w:r>
      <w:r w:rsidRPr="00734790">
        <w:t xml:space="preserve"> constituted under sub-section (1) of section 13 of the Act;</w:t>
      </w:r>
    </w:p>
    <w:p w14:paraId="2F663BA2" w14:textId="04EFE8A4" w:rsidR="00E95175" w:rsidRPr="00734790" w:rsidRDefault="00E95175" w:rsidP="00B40A19">
      <w:pPr>
        <w:pStyle w:val="NormalWeb"/>
        <w:spacing w:line="360" w:lineRule="auto"/>
        <w:ind w:left="720"/>
        <w:jc w:val="both"/>
      </w:pPr>
      <w:r w:rsidRPr="00734790">
        <w:rPr>
          <w:rStyle w:val="Strong"/>
          <w:b w:val="0"/>
          <w:bCs w:val="0"/>
        </w:rPr>
        <w:t>(</w:t>
      </w:r>
      <w:r w:rsidR="009F3570">
        <w:rPr>
          <w:rStyle w:val="Strong"/>
          <w:b w:val="0"/>
          <w:bCs w:val="0"/>
        </w:rPr>
        <w:t>e</w:t>
      </w:r>
      <w:r w:rsidRPr="00734790">
        <w:rPr>
          <w:rStyle w:val="Strong"/>
          <w:b w:val="0"/>
          <w:bCs w:val="0"/>
        </w:rPr>
        <w:t>)</w:t>
      </w:r>
      <w:r w:rsidRPr="00734790">
        <w:t xml:space="preserve"> “Director-General” means</w:t>
      </w:r>
      <w:r w:rsidR="00B06934">
        <w:t xml:space="preserve"> the</w:t>
      </w:r>
      <w:r w:rsidR="00AF46F0">
        <w:t xml:space="preserve"> head of the Bureau of Port Security appointed by the Central Government as per Sub-section (1) of Section 13 of the Act. Director General of Maritime Administration</w:t>
      </w:r>
      <w:r w:rsidR="00B06934">
        <w:t xml:space="preserve"> defined in sub-section</w:t>
      </w:r>
      <w:r w:rsidRPr="00734790">
        <w:t xml:space="preserve"> (16) of section 3 of the Act</w:t>
      </w:r>
      <w:r w:rsidR="00AF46F0">
        <w:t xml:space="preserve"> shall be the ex-officio head of the Bureau during the period of transition as determined by the Central Government</w:t>
      </w:r>
      <w:r w:rsidRPr="00734790">
        <w:t>;</w:t>
      </w:r>
    </w:p>
    <w:p w14:paraId="000A81C2" w14:textId="1AA8B39F" w:rsidR="00E95175" w:rsidRPr="00734790" w:rsidRDefault="002068C1" w:rsidP="00B40A19">
      <w:pPr>
        <w:pStyle w:val="NormalWeb"/>
        <w:spacing w:line="360" w:lineRule="auto"/>
        <w:ind w:left="720"/>
        <w:jc w:val="both"/>
      </w:pPr>
      <w:r w:rsidRPr="00734790">
        <w:t>(</w:t>
      </w:r>
      <w:r w:rsidR="009F3570">
        <w:t>f</w:t>
      </w:r>
      <w:r w:rsidRPr="00734790">
        <w:t xml:space="preserve">) </w:t>
      </w:r>
      <w:r w:rsidR="00E95175" w:rsidRPr="00734790">
        <w:t>“ISPS Code” means the International Ship and Port Facility Security Code adopted by the International Maritime Organization under the Safety Convention, as amended from time to time;</w:t>
      </w:r>
    </w:p>
    <w:p w14:paraId="2E20A307" w14:textId="6B4E2856" w:rsidR="00E95175" w:rsidRPr="00C158E1" w:rsidRDefault="00816A97" w:rsidP="00B40A19">
      <w:pPr>
        <w:pStyle w:val="NormalWeb"/>
        <w:spacing w:line="360" w:lineRule="auto"/>
        <w:ind w:left="720"/>
        <w:jc w:val="both"/>
        <w:rPr>
          <w:highlight w:val="yellow"/>
        </w:rPr>
      </w:pPr>
      <w:r>
        <w:rPr>
          <w:rStyle w:val="Strong"/>
          <w:b w:val="0"/>
          <w:bCs w:val="0"/>
        </w:rPr>
        <w:t>(</w:t>
      </w:r>
      <w:r w:rsidR="009F3570">
        <w:rPr>
          <w:rStyle w:val="Strong"/>
          <w:b w:val="0"/>
          <w:bCs w:val="0"/>
        </w:rPr>
        <w:t>g</w:t>
      </w:r>
      <w:r w:rsidR="00E95175" w:rsidRPr="00734790">
        <w:rPr>
          <w:rStyle w:val="Strong"/>
          <w:b w:val="0"/>
          <w:bCs w:val="0"/>
        </w:rPr>
        <w:t>)</w:t>
      </w:r>
      <w:r w:rsidR="00E95175" w:rsidRPr="00734790">
        <w:t xml:space="preserve"> </w:t>
      </w:r>
      <w:r w:rsidRPr="00816A97">
        <w:t xml:space="preserve">“Port Facility” means a port facility as defined in </w:t>
      </w:r>
      <w:r w:rsidR="00B06934">
        <w:t>sub-section</w:t>
      </w:r>
      <w:r>
        <w:t xml:space="preserve"> (39) of section 3 of the </w:t>
      </w:r>
      <w:r w:rsidRPr="00C158E1">
        <w:t>Act</w:t>
      </w:r>
      <w:r w:rsidR="00E95175" w:rsidRPr="00C158E1">
        <w:t>;</w:t>
      </w:r>
    </w:p>
    <w:p w14:paraId="351B1C2F" w14:textId="179E2045" w:rsidR="00E95175" w:rsidRPr="005E31E0" w:rsidRDefault="00816A97" w:rsidP="00B40A19">
      <w:pPr>
        <w:pStyle w:val="NormalWeb"/>
        <w:spacing w:line="360" w:lineRule="auto"/>
        <w:ind w:left="720"/>
        <w:jc w:val="both"/>
      </w:pPr>
      <w:r w:rsidRPr="005E31E0">
        <w:rPr>
          <w:rStyle w:val="Strong"/>
          <w:b w:val="0"/>
          <w:bCs w:val="0"/>
        </w:rPr>
        <w:t>(</w:t>
      </w:r>
      <w:r w:rsidR="009F3570">
        <w:rPr>
          <w:rStyle w:val="Strong"/>
          <w:b w:val="0"/>
          <w:bCs w:val="0"/>
        </w:rPr>
        <w:t>h</w:t>
      </w:r>
      <w:r w:rsidR="00E95175" w:rsidRPr="005E31E0">
        <w:rPr>
          <w:rStyle w:val="Strong"/>
          <w:b w:val="0"/>
          <w:bCs w:val="0"/>
        </w:rPr>
        <w:t>)</w:t>
      </w:r>
      <w:r w:rsidR="00E95175" w:rsidRPr="005E31E0">
        <w:t xml:space="preserve"> “Vessel” means a ship, boat or </w:t>
      </w:r>
      <w:r w:rsidR="00DA7D75">
        <w:t>other crafts</w:t>
      </w:r>
      <w:r w:rsidR="00E95175" w:rsidRPr="005E31E0">
        <w:t xml:space="preserve">, as defined in </w:t>
      </w:r>
      <w:r w:rsidR="00B06934" w:rsidRPr="005E31E0">
        <w:t>sub-section</w:t>
      </w:r>
      <w:r w:rsidR="00E95175" w:rsidRPr="005E31E0">
        <w:t xml:space="preserve"> (70) of section 3 of the Act;</w:t>
      </w:r>
    </w:p>
    <w:p w14:paraId="6C1519FA" w14:textId="07A67DF4" w:rsidR="00E95175" w:rsidRPr="00734790" w:rsidRDefault="00816A97" w:rsidP="00B40A19">
      <w:pPr>
        <w:pStyle w:val="NormalWeb"/>
        <w:spacing w:line="360" w:lineRule="auto"/>
        <w:ind w:left="720"/>
        <w:jc w:val="both"/>
      </w:pPr>
      <w:r>
        <w:rPr>
          <w:rStyle w:val="Strong"/>
          <w:b w:val="0"/>
          <w:bCs w:val="0"/>
        </w:rPr>
        <w:t>(</w:t>
      </w:r>
      <w:r w:rsidR="009F3570">
        <w:rPr>
          <w:rStyle w:val="Strong"/>
          <w:b w:val="0"/>
          <w:bCs w:val="0"/>
        </w:rPr>
        <w:t>i</w:t>
      </w:r>
      <w:r w:rsidR="00E95175" w:rsidRPr="00734790">
        <w:rPr>
          <w:rStyle w:val="Strong"/>
          <w:b w:val="0"/>
          <w:bCs w:val="0"/>
        </w:rPr>
        <w:t>)</w:t>
      </w:r>
      <w:r w:rsidR="00E95175" w:rsidRPr="00734790">
        <w:t xml:space="preserve"> “Security Plan” means a Port Facility Security Plan (PFSP) or any other plan prepared and approved under these Rules, consistent with the ISPS Code;</w:t>
      </w:r>
    </w:p>
    <w:p w14:paraId="00928309" w14:textId="7DF2E854" w:rsidR="00DE12EB" w:rsidRDefault="00816A97" w:rsidP="00B40A19">
      <w:pPr>
        <w:pStyle w:val="NormalWeb"/>
        <w:spacing w:line="360" w:lineRule="auto"/>
        <w:ind w:left="720"/>
        <w:jc w:val="both"/>
      </w:pPr>
      <w:r>
        <w:rPr>
          <w:rStyle w:val="Strong"/>
          <w:b w:val="0"/>
          <w:bCs w:val="0"/>
        </w:rPr>
        <w:t>(</w:t>
      </w:r>
      <w:r w:rsidR="009F3570">
        <w:rPr>
          <w:rStyle w:val="Strong"/>
          <w:b w:val="0"/>
          <w:bCs w:val="0"/>
        </w:rPr>
        <w:t>j</w:t>
      </w:r>
      <w:r w:rsidR="00E95175" w:rsidRPr="00734790">
        <w:rPr>
          <w:rStyle w:val="Strong"/>
          <w:b w:val="0"/>
          <w:bCs w:val="0"/>
        </w:rPr>
        <w:t>)</w:t>
      </w:r>
      <w:r w:rsidR="00E95175" w:rsidRPr="00734790">
        <w:t xml:space="preserve"> “Security Incident” means any act, omission or circumstance that threatens, or is likely to threaten, the safety or security of a vessel, port facility or offshore installation;</w:t>
      </w:r>
      <w:r>
        <w:t xml:space="preserve"> </w:t>
      </w:r>
    </w:p>
    <w:p w14:paraId="0FB9A373" w14:textId="12E89173" w:rsidR="00E95175" w:rsidRPr="00734790" w:rsidRDefault="00DE12EB" w:rsidP="00B40A19">
      <w:pPr>
        <w:pStyle w:val="NormalWeb"/>
        <w:spacing w:line="360" w:lineRule="auto"/>
        <w:ind w:left="720"/>
        <w:jc w:val="both"/>
      </w:pPr>
      <w:r>
        <w:t>(</w:t>
      </w:r>
      <w:r w:rsidR="009F3570">
        <w:t>k</w:t>
      </w:r>
      <w:r>
        <w:t xml:space="preserve">) “Training Facility” means any institution approved by the Bureau </w:t>
      </w:r>
      <w:r w:rsidR="00DA7D75">
        <w:t xml:space="preserve">or the Administration </w:t>
      </w:r>
      <w:r>
        <w:t xml:space="preserve">for imparting port security training under these rules; </w:t>
      </w:r>
      <w:r w:rsidR="00816A97">
        <w:t>and</w:t>
      </w:r>
    </w:p>
    <w:p w14:paraId="5FC02893" w14:textId="236D2063" w:rsidR="00E95175" w:rsidRPr="00734790" w:rsidRDefault="00DE12EB" w:rsidP="00B40A19">
      <w:pPr>
        <w:pStyle w:val="NormalWeb"/>
        <w:spacing w:line="360" w:lineRule="auto"/>
        <w:ind w:left="720"/>
        <w:jc w:val="both"/>
      </w:pPr>
      <w:r>
        <w:rPr>
          <w:rStyle w:val="Strong"/>
          <w:b w:val="0"/>
          <w:bCs w:val="0"/>
        </w:rPr>
        <w:t>(</w:t>
      </w:r>
      <w:r w:rsidR="009F3570">
        <w:rPr>
          <w:rStyle w:val="Strong"/>
          <w:b w:val="0"/>
          <w:bCs w:val="0"/>
        </w:rPr>
        <w:t>l</w:t>
      </w:r>
      <w:r w:rsidR="00E95175" w:rsidRPr="00734790">
        <w:rPr>
          <w:rStyle w:val="Strong"/>
          <w:b w:val="0"/>
          <w:bCs w:val="0"/>
        </w:rPr>
        <w:t>)</w:t>
      </w:r>
      <w:r w:rsidR="00E95175" w:rsidRPr="00734790">
        <w:t xml:space="preserve"> “Maritime Law Enforcement Agencies (MLEAs)” means the Indian Coast Guard, Indian Navy, Customs, Coastal Police or any other agency as may be notified by the Central Government;</w:t>
      </w:r>
    </w:p>
    <w:p w14:paraId="69E184C6" w14:textId="77777777" w:rsidR="00C56C6D" w:rsidRPr="00734790" w:rsidRDefault="00E95175" w:rsidP="00B40A19">
      <w:pPr>
        <w:pStyle w:val="NormalWeb"/>
        <w:numPr>
          <w:ilvl w:val="0"/>
          <w:numId w:val="3"/>
        </w:numPr>
        <w:spacing w:line="360" w:lineRule="auto"/>
        <w:jc w:val="both"/>
      </w:pPr>
      <w:r w:rsidRPr="00734790">
        <w:t>Words and expressions used but not defined herein shall have the meanings respectively assigned to them in the Act, the ISPS Code or the Safety Convention.</w:t>
      </w:r>
    </w:p>
    <w:p w14:paraId="0BAFA1B6" w14:textId="77777777" w:rsidR="00B54417" w:rsidRPr="00734790" w:rsidRDefault="005F5F73" w:rsidP="00F279C8">
      <w:pPr>
        <w:pStyle w:val="NormalWeb"/>
        <w:spacing w:line="360" w:lineRule="auto"/>
        <w:ind w:left="360"/>
        <w:jc w:val="center"/>
      </w:pPr>
      <w:r w:rsidRPr="00734790">
        <w:rPr>
          <w:b/>
          <w:bCs/>
        </w:rPr>
        <w:t>CHAPTER II</w:t>
      </w:r>
      <w:r w:rsidRPr="00734790">
        <w:rPr>
          <w:b/>
          <w:bCs/>
        </w:rPr>
        <w:br/>
      </w:r>
      <w:r w:rsidR="00B54417" w:rsidRPr="00734790">
        <w:rPr>
          <w:b/>
          <w:bCs/>
        </w:rPr>
        <w:t>CONSTITUTION AND ADMINISTRATION OF THE BUREAU</w:t>
      </w:r>
    </w:p>
    <w:p w14:paraId="6BDB674E" w14:textId="77777777" w:rsidR="00EC3B4F" w:rsidRPr="00734790" w:rsidRDefault="00FA6054" w:rsidP="00F279C8">
      <w:pPr>
        <w:pStyle w:val="NormalWeb"/>
        <w:spacing w:line="360" w:lineRule="auto"/>
        <w:jc w:val="both"/>
      </w:pPr>
      <w:r w:rsidRPr="00734790">
        <w:rPr>
          <w:rStyle w:val="Strong"/>
        </w:rPr>
        <w:t>3.</w:t>
      </w:r>
      <w:r w:rsidR="00EC3B4F" w:rsidRPr="00734790">
        <w:rPr>
          <w:rStyle w:val="Strong"/>
        </w:rPr>
        <w:t xml:space="preserve"> Constitution of the Bureau of Port Security </w:t>
      </w:r>
    </w:p>
    <w:p w14:paraId="5B171146" w14:textId="5C7006C4" w:rsidR="00C34DDE" w:rsidRPr="00734790" w:rsidRDefault="00C34DDE" w:rsidP="00C34DDE">
      <w:pPr>
        <w:pStyle w:val="NormalWeb"/>
        <w:numPr>
          <w:ilvl w:val="0"/>
          <w:numId w:val="1"/>
        </w:numPr>
        <w:spacing w:line="360" w:lineRule="auto"/>
        <w:jc w:val="both"/>
      </w:pPr>
      <w:r w:rsidRPr="00734790">
        <w:t xml:space="preserve">In exercise of the powers conferred by sub-section (1) of section 13 of the Act, the Central Government hereby constitutes the Bureau </w:t>
      </w:r>
      <w:r w:rsidR="00AF46F0">
        <w:t xml:space="preserve">of Port Security </w:t>
      </w:r>
      <w:r w:rsidRPr="00734790">
        <w:t xml:space="preserve">for carrying out regulatory, oversight and coordination functions relating to port-facility </w:t>
      </w:r>
      <w:r w:rsidR="00AD13EF" w:rsidRPr="00734790">
        <w:t xml:space="preserve">security </w:t>
      </w:r>
      <w:r w:rsidRPr="00734790">
        <w:t xml:space="preserve">operations, including coordination at the </w:t>
      </w:r>
      <w:r w:rsidR="006C4BA8" w:rsidRPr="00734790">
        <w:t xml:space="preserve">vessel–port </w:t>
      </w:r>
      <w:r w:rsidRPr="00734790">
        <w:t xml:space="preserve">interface within </w:t>
      </w:r>
      <w:r w:rsidR="00DD029E">
        <w:t>the port facility</w:t>
      </w:r>
      <w:r w:rsidRPr="00734790">
        <w:t>, as may be specified by the Central Government.</w:t>
      </w:r>
    </w:p>
    <w:p w14:paraId="1EFE80AD" w14:textId="1C94376F" w:rsidR="00C34DDE" w:rsidRPr="00734790" w:rsidRDefault="00C34DDE" w:rsidP="00C34DDE">
      <w:pPr>
        <w:pStyle w:val="NormalWeb"/>
        <w:numPr>
          <w:ilvl w:val="0"/>
          <w:numId w:val="1"/>
        </w:numPr>
        <w:spacing w:line="360" w:lineRule="auto"/>
        <w:jc w:val="both"/>
      </w:pPr>
      <w:r w:rsidRPr="00734790">
        <w:t xml:space="preserve">The </w:t>
      </w:r>
      <w:r w:rsidRPr="00734790">
        <w:rPr>
          <w:rStyle w:val="Strong"/>
          <w:b w:val="0"/>
          <w:bCs w:val="0"/>
        </w:rPr>
        <w:t>Bureau shall function under the administrative control of the Ministry</w:t>
      </w:r>
      <w:r w:rsidRPr="00734790">
        <w:t xml:space="preserve">, and shall be </w:t>
      </w:r>
      <w:r w:rsidRPr="00734790">
        <w:rPr>
          <w:rStyle w:val="Strong"/>
          <w:b w:val="0"/>
          <w:bCs w:val="0"/>
        </w:rPr>
        <w:t>headed by the Director-General</w:t>
      </w:r>
      <w:r w:rsidRPr="00734790">
        <w:t>, or such other officer as may be notified by the Central Government.</w:t>
      </w:r>
    </w:p>
    <w:p w14:paraId="249B22F3" w14:textId="77777777" w:rsidR="00C34DDE" w:rsidRPr="00734790" w:rsidRDefault="00C34DDE" w:rsidP="00C34DDE">
      <w:pPr>
        <w:pStyle w:val="NormalWeb"/>
        <w:numPr>
          <w:ilvl w:val="0"/>
          <w:numId w:val="1"/>
        </w:numPr>
        <w:spacing w:line="360" w:lineRule="auto"/>
        <w:jc w:val="both"/>
      </w:pPr>
      <w:r w:rsidRPr="00734790">
        <w:t xml:space="preserve">The administration of the Bureau shall vest in the </w:t>
      </w:r>
      <w:r w:rsidRPr="00734790">
        <w:rPr>
          <w:rStyle w:val="Strong"/>
          <w:b w:val="0"/>
          <w:bCs w:val="0"/>
        </w:rPr>
        <w:t>Director-General</w:t>
      </w:r>
      <w:r w:rsidRPr="00734790">
        <w:t>, who shall exercise such powers and perform such duties as are assigned to the Bureau under these Rules or as may be delegated by the Central Government for the efficient discharge of its functions.</w:t>
      </w:r>
    </w:p>
    <w:p w14:paraId="6E987D4C" w14:textId="77777777" w:rsidR="00B54417" w:rsidRPr="00734790" w:rsidRDefault="00C34DDE" w:rsidP="00C34DDE">
      <w:pPr>
        <w:pStyle w:val="NormalWeb"/>
        <w:numPr>
          <w:ilvl w:val="0"/>
          <w:numId w:val="1"/>
        </w:numPr>
        <w:spacing w:line="360" w:lineRule="auto"/>
        <w:jc w:val="both"/>
        <w:rPr>
          <w:rStyle w:val="Strong"/>
          <w:b w:val="0"/>
          <w:bCs w:val="0"/>
        </w:rPr>
      </w:pPr>
      <w:r w:rsidRPr="00734790">
        <w:t xml:space="preserve">The </w:t>
      </w:r>
      <w:r w:rsidRPr="00734790">
        <w:rPr>
          <w:rStyle w:val="Strong"/>
          <w:b w:val="0"/>
          <w:bCs w:val="0"/>
        </w:rPr>
        <w:t>headquarters of the Bureau shall be at such place as the Central Government may, by notification, specify</w:t>
      </w:r>
      <w:r w:rsidRPr="00734790">
        <w:t>, and the Central Government may establish regional or field offices for the effective discharge of the Bureau’s functions.</w:t>
      </w:r>
    </w:p>
    <w:p w14:paraId="6B0BAF36" w14:textId="77777777" w:rsidR="00EC3B4F" w:rsidRPr="00734790" w:rsidRDefault="007752F5" w:rsidP="00F279C8">
      <w:pPr>
        <w:pStyle w:val="NormalWeb"/>
        <w:spacing w:line="360" w:lineRule="auto"/>
        <w:jc w:val="both"/>
      </w:pPr>
      <w:r w:rsidRPr="00734790">
        <w:rPr>
          <w:rStyle w:val="Strong"/>
        </w:rPr>
        <w:t>4</w:t>
      </w:r>
      <w:r w:rsidR="00FA6054" w:rsidRPr="00734790">
        <w:rPr>
          <w:rStyle w:val="Strong"/>
        </w:rPr>
        <w:t>.</w:t>
      </w:r>
      <w:r w:rsidR="00EC3B4F" w:rsidRPr="00734790">
        <w:rPr>
          <w:rStyle w:val="Strong"/>
        </w:rPr>
        <w:t xml:space="preserve"> Composition of the Bureau of Port Security </w:t>
      </w:r>
    </w:p>
    <w:p w14:paraId="3A4DAC52" w14:textId="77777777" w:rsidR="00C34DDE" w:rsidRPr="00734790" w:rsidRDefault="009658E6" w:rsidP="00C34DDE">
      <w:pPr>
        <w:pStyle w:val="NormalWeb"/>
        <w:numPr>
          <w:ilvl w:val="0"/>
          <w:numId w:val="2"/>
        </w:numPr>
        <w:spacing w:line="360" w:lineRule="auto"/>
        <w:jc w:val="both"/>
      </w:pPr>
      <w:r w:rsidRPr="00734790">
        <w:t>The Bureau shall consist</w:t>
      </w:r>
      <w:r w:rsidR="00C34DDE" w:rsidRPr="00734790">
        <w:t xml:space="preserve"> </w:t>
      </w:r>
      <w:r w:rsidRPr="00734790">
        <w:t xml:space="preserve">of </w:t>
      </w:r>
      <w:r w:rsidR="00C34DDE" w:rsidRPr="00734790">
        <w:t>officers and personnel necessary for the effective discharge of its functions under the Act, including—</w:t>
      </w:r>
    </w:p>
    <w:p w14:paraId="50D88973" w14:textId="77777777" w:rsidR="00C34DDE" w:rsidRPr="00734790" w:rsidRDefault="00C34DDE" w:rsidP="00C34DDE">
      <w:pPr>
        <w:pStyle w:val="NormalWeb"/>
        <w:spacing w:line="360" w:lineRule="auto"/>
        <w:ind w:left="720"/>
        <w:jc w:val="both"/>
      </w:pPr>
      <w:r w:rsidRPr="00734790">
        <w:t xml:space="preserve">(a) The </w:t>
      </w:r>
      <w:r w:rsidRPr="00734790">
        <w:rPr>
          <w:rStyle w:val="Strong"/>
          <w:b w:val="0"/>
          <w:bCs w:val="0"/>
        </w:rPr>
        <w:t>Director-General</w:t>
      </w:r>
      <w:r w:rsidRPr="00734790">
        <w:t>, who shall be the statutory head of the Bureau;</w:t>
      </w:r>
    </w:p>
    <w:p w14:paraId="1E1DDB71" w14:textId="77777777" w:rsidR="00C34DDE" w:rsidRPr="00734790" w:rsidRDefault="00C34DDE" w:rsidP="00C34DDE">
      <w:pPr>
        <w:pStyle w:val="NormalWeb"/>
        <w:spacing w:line="360" w:lineRule="auto"/>
        <w:ind w:left="720"/>
        <w:jc w:val="both"/>
      </w:pPr>
      <w:r w:rsidRPr="00734790">
        <w:t xml:space="preserve">(b) </w:t>
      </w:r>
      <w:r w:rsidRPr="00734790">
        <w:rPr>
          <w:rStyle w:val="Strong"/>
          <w:b w:val="0"/>
          <w:bCs w:val="0"/>
        </w:rPr>
        <w:t>Additional Director General (ADG-Bureau)</w:t>
      </w:r>
      <w:r w:rsidRPr="00734790">
        <w:t>, appointed to assist the head of the Bureau;</w:t>
      </w:r>
    </w:p>
    <w:p w14:paraId="7A784FA5" w14:textId="77777777" w:rsidR="00C34DDE" w:rsidRPr="00734790" w:rsidRDefault="00C34DDE" w:rsidP="00C34DDE">
      <w:pPr>
        <w:pStyle w:val="NormalWeb"/>
        <w:spacing w:line="360" w:lineRule="auto"/>
        <w:ind w:left="720"/>
        <w:jc w:val="both"/>
      </w:pPr>
      <w:r w:rsidRPr="00734790">
        <w:t xml:space="preserve">(c) </w:t>
      </w:r>
      <w:r w:rsidRPr="00734790">
        <w:rPr>
          <w:rStyle w:val="Strong"/>
          <w:b w:val="0"/>
          <w:bCs w:val="0"/>
        </w:rPr>
        <w:t>Divisional Heads</w:t>
      </w:r>
      <w:r w:rsidRPr="00734790">
        <w:t>, of the rank of Deputy Director General or equivalent, responsible for the following functional divisions including:</w:t>
      </w:r>
    </w:p>
    <w:p w14:paraId="749465B9" w14:textId="77777777" w:rsidR="00C34DDE" w:rsidRPr="00734790" w:rsidRDefault="00C34DDE" w:rsidP="00C34DDE">
      <w:pPr>
        <w:pStyle w:val="NormalWeb"/>
        <w:spacing w:line="360" w:lineRule="auto"/>
        <w:ind w:left="1440"/>
        <w:jc w:val="both"/>
      </w:pPr>
      <w:r w:rsidRPr="00734790">
        <w:t>(i) Administrative Division;</w:t>
      </w:r>
    </w:p>
    <w:p w14:paraId="7C0F62EA" w14:textId="77777777" w:rsidR="00C34DDE" w:rsidRPr="00734790" w:rsidRDefault="00C34DDE" w:rsidP="00C34DDE">
      <w:pPr>
        <w:pStyle w:val="NormalWeb"/>
        <w:spacing w:line="360" w:lineRule="auto"/>
        <w:ind w:left="1440"/>
        <w:jc w:val="both"/>
      </w:pPr>
      <w:r w:rsidRPr="00734790">
        <w:t>(ii) Coordination, Technical &amp; Cyber Security Division;</w:t>
      </w:r>
    </w:p>
    <w:p w14:paraId="75529CD2" w14:textId="77777777" w:rsidR="00C34DDE" w:rsidRPr="00734790" w:rsidRDefault="00C34DDE" w:rsidP="00C34DDE">
      <w:pPr>
        <w:pStyle w:val="NormalWeb"/>
        <w:spacing w:line="360" w:lineRule="auto"/>
        <w:ind w:left="1440"/>
        <w:jc w:val="both"/>
      </w:pPr>
      <w:r w:rsidRPr="00734790">
        <w:t>(iii) Operations, Oversight &amp; Compliance Division;</w:t>
      </w:r>
    </w:p>
    <w:p w14:paraId="7D572131" w14:textId="77777777" w:rsidR="00C34DDE" w:rsidRPr="00734790" w:rsidRDefault="00C34DDE" w:rsidP="00C34DDE">
      <w:pPr>
        <w:pStyle w:val="NormalWeb"/>
        <w:spacing w:line="360" w:lineRule="auto"/>
        <w:ind w:left="1440"/>
        <w:jc w:val="both"/>
      </w:pPr>
      <w:r w:rsidRPr="00734790">
        <w:t>(iv) Policy &amp; Training Division;</w:t>
      </w:r>
    </w:p>
    <w:p w14:paraId="12A14D37" w14:textId="77777777" w:rsidR="00C34DDE" w:rsidRPr="00734790" w:rsidRDefault="00C34DDE" w:rsidP="00C34DDE">
      <w:pPr>
        <w:pStyle w:val="NormalWeb"/>
        <w:spacing w:line="360" w:lineRule="auto"/>
        <w:ind w:left="720"/>
        <w:jc w:val="both"/>
      </w:pPr>
      <w:r w:rsidRPr="00734790">
        <w:t>(d) Officers and personnel assisting the Divisional Heads in areas including coastal security, port operations, cargo and container security, cyber security, administration, finance, and legal matters; and</w:t>
      </w:r>
    </w:p>
    <w:p w14:paraId="511BE68F" w14:textId="77777777" w:rsidR="00C34DDE" w:rsidRPr="00734790" w:rsidRDefault="00C34DDE" w:rsidP="00C34DDE">
      <w:pPr>
        <w:pStyle w:val="NormalWeb"/>
        <w:spacing w:line="360" w:lineRule="auto"/>
        <w:ind w:left="720"/>
        <w:jc w:val="both"/>
      </w:pPr>
      <w:r w:rsidRPr="00734790">
        <w:t>(e) Such other officers, technical experts, and personnel as may be notified by the Central Government.</w:t>
      </w:r>
    </w:p>
    <w:p w14:paraId="3668E2E7" w14:textId="77777777" w:rsidR="00C34DDE" w:rsidRPr="00734790" w:rsidRDefault="00C34DDE" w:rsidP="00C34DDE">
      <w:pPr>
        <w:pStyle w:val="NormalWeb"/>
        <w:numPr>
          <w:ilvl w:val="0"/>
          <w:numId w:val="2"/>
        </w:numPr>
        <w:spacing w:line="360" w:lineRule="auto"/>
        <w:jc w:val="both"/>
      </w:pPr>
      <w:r w:rsidRPr="00734790">
        <w:t xml:space="preserve">The officers and personnel of the Bureau may be appointed or engaged by the Central Government through </w:t>
      </w:r>
      <w:r w:rsidRPr="00734790">
        <w:rPr>
          <w:rStyle w:val="Strong"/>
          <w:b w:val="0"/>
          <w:bCs w:val="0"/>
        </w:rPr>
        <w:t>deputation, promotion, or direct recruitment</w:t>
      </w:r>
      <w:r w:rsidRPr="00734790">
        <w:t>, in accordance with notifications issued under Section 13(1) of the Act.</w:t>
      </w:r>
    </w:p>
    <w:p w14:paraId="70D5816C" w14:textId="77777777" w:rsidR="006B1593" w:rsidRPr="00734790" w:rsidRDefault="006B1593" w:rsidP="00C34DDE">
      <w:pPr>
        <w:pStyle w:val="NormalWeb"/>
        <w:numPr>
          <w:ilvl w:val="0"/>
          <w:numId w:val="2"/>
        </w:numPr>
        <w:spacing w:line="360" w:lineRule="auto"/>
        <w:jc w:val="both"/>
      </w:pPr>
      <w:r w:rsidRPr="00734790">
        <w:t>The Central Government may, by notification, determine the composition, sanctioned strength, and categories of officers and personnel of the Bureau, including specialist officers and technical experts, and may amend the same from time to time.</w:t>
      </w:r>
    </w:p>
    <w:p w14:paraId="49D2ED57" w14:textId="77777777" w:rsidR="006B1593" w:rsidRPr="00734790" w:rsidRDefault="0062466F" w:rsidP="00C34DDE">
      <w:pPr>
        <w:pStyle w:val="NormalWeb"/>
        <w:numPr>
          <w:ilvl w:val="0"/>
          <w:numId w:val="2"/>
        </w:numPr>
        <w:spacing w:line="360" w:lineRule="auto"/>
        <w:jc w:val="both"/>
      </w:pPr>
      <w:r w:rsidRPr="00734790">
        <w:t>The appointment, tenure, and conditions of service of all officers and personnel of the Bureau shall be governed by the rules framed by the Central Government, including the applicable central civil services (conduct) rules, 1964, unless otherwise specified.</w:t>
      </w:r>
      <w:r w:rsidR="006B1593" w:rsidRPr="00734790">
        <w:t xml:space="preserve"> </w:t>
      </w:r>
    </w:p>
    <w:p w14:paraId="3BE80C08" w14:textId="77777777" w:rsidR="001D3A0F" w:rsidRPr="00734790" w:rsidRDefault="005F5F73" w:rsidP="00F279C8">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734790">
        <w:rPr>
          <w:rFonts w:ascii="Times New Roman" w:eastAsia="Times New Roman" w:hAnsi="Times New Roman" w:cs="Times New Roman"/>
          <w:b/>
          <w:bCs/>
          <w:sz w:val="24"/>
          <w:szCs w:val="24"/>
        </w:rPr>
        <w:t>CHAPTER III</w:t>
      </w:r>
      <w:r w:rsidRPr="00734790">
        <w:rPr>
          <w:rFonts w:ascii="Times New Roman" w:eastAsia="Times New Roman" w:hAnsi="Times New Roman" w:cs="Times New Roman"/>
          <w:b/>
          <w:bCs/>
          <w:sz w:val="24"/>
          <w:szCs w:val="24"/>
        </w:rPr>
        <w:br/>
      </w:r>
      <w:r w:rsidR="001D3A0F" w:rsidRPr="00734790">
        <w:rPr>
          <w:rFonts w:ascii="Times New Roman" w:eastAsia="Times New Roman" w:hAnsi="Times New Roman" w:cs="Times New Roman"/>
          <w:b/>
          <w:bCs/>
          <w:sz w:val="24"/>
          <w:szCs w:val="24"/>
        </w:rPr>
        <w:t>FUNCTIONS AND POWERS OF THE BUREAU</w:t>
      </w:r>
    </w:p>
    <w:p w14:paraId="5022582F" w14:textId="77777777" w:rsidR="00E229BA" w:rsidRPr="00734790" w:rsidRDefault="007752F5" w:rsidP="00B40A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34790">
        <w:rPr>
          <w:rFonts w:ascii="Times New Roman" w:eastAsia="Times New Roman" w:hAnsi="Times New Roman" w:cs="Times New Roman"/>
          <w:b/>
          <w:bCs/>
          <w:sz w:val="24"/>
          <w:szCs w:val="24"/>
        </w:rPr>
        <w:t>5</w:t>
      </w:r>
      <w:r w:rsidR="00FA6054" w:rsidRPr="00734790">
        <w:rPr>
          <w:rFonts w:ascii="Times New Roman" w:eastAsia="Times New Roman" w:hAnsi="Times New Roman" w:cs="Times New Roman"/>
          <w:b/>
          <w:bCs/>
          <w:sz w:val="24"/>
          <w:szCs w:val="24"/>
        </w:rPr>
        <w:t>.</w:t>
      </w:r>
      <w:r w:rsidR="003A4F24" w:rsidRPr="00734790">
        <w:rPr>
          <w:rFonts w:ascii="Times New Roman" w:eastAsia="Times New Roman" w:hAnsi="Times New Roman" w:cs="Times New Roman"/>
          <w:b/>
          <w:bCs/>
          <w:sz w:val="24"/>
          <w:szCs w:val="24"/>
        </w:rPr>
        <w:t xml:space="preserve"> Functions of the B</w:t>
      </w:r>
      <w:r w:rsidR="00835018" w:rsidRPr="00734790">
        <w:rPr>
          <w:rFonts w:ascii="Times New Roman" w:eastAsia="Times New Roman" w:hAnsi="Times New Roman" w:cs="Times New Roman"/>
          <w:b/>
          <w:bCs/>
          <w:sz w:val="24"/>
          <w:szCs w:val="24"/>
        </w:rPr>
        <w:t xml:space="preserve">ureau </w:t>
      </w:r>
    </w:p>
    <w:p w14:paraId="509DF5A4" w14:textId="588C1BF6" w:rsidR="00835018" w:rsidRPr="00734790" w:rsidRDefault="00835018" w:rsidP="00B40A19">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 xml:space="preserve">The Bureau shall perform regulatory and oversight functions relating to </w:t>
      </w:r>
      <w:r w:rsidR="00DA7D75">
        <w:rPr>
          <w:rFonts w:ascii="Times New Roman" w:eastAsia="Times New Roman" w:hAnsi="Times New Roman" w:cs="Times New Roman"/>
          <w:sz w:val="24"/>
          <w:szCs w:val="24"/>
        </w:rPr>
        <w:t xml:space="preserve">security of vessels and </w:t>
      </w:r>
      <w:r w:rsidRPr="00734790">
        <w:rPr>
          <w:rFonts w:ascii="Times New Roman" w:eastAsia="Times New Roman" w:hAnsi="Times New Roman" w:cs="Times New Roman"/>
          <w:sz w:val="24"/>
          <w:szCs w:val="24"/>
        </w:rPr>
        <w:t>port-facilit</w:t>
      </w:r>
      <w:r w:rsidR="00DA7D75">
        <w:rPr>
          <w:rFonts w:ascii="Times New Roman" w:eastAsia="Times New Roman" w:hAnsi="Times New Roman" w:cs="Times New Roman"/>
          <w:sz w:val="24"/>
          <w:szCs w:val="24"/>
        </w:rPr>
        <w:t>ies</w:t>
      </w:r>
      <w:r w:rsidRPr="00734790">
        <w:rPr>
          <w:rFonts w:ascii="Times New Roman" w:eastAsia="Times New Roman" w:hAnsi="Times New Roman" w:cs="Times New Roman"/>
          <w:sz w:val="24"/>
          <w:szCs w:val="24"/>
        </w:rPr>
        <w:t>, in accordance with section 13 of the Act.</w:t>
      </w:r>
    </w:p>
    <w:p w14:paraId="56E56400" w14:textId="31EDA662" w:rsidR="00835018" w:rsidRDefault="00835018"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 xml:space="preserve">Provided that the </w:t>
      </w:r>
      <w:r w:rsidR="00DD029E">
        <w:rPr>
          <w:rFonts w:ascii="Times New Roman" w:eastAsia="Times New Roman" w:hAnsi="Times New Roman" w:cs="Times New Roman"/>
          <w:sz w:val="24"/>
          <w:szCs w:val="24"/>
        </w:rPr>
        <w:t xml:space="preserve">functions of the </w:t>
      </w:r>
      <w:r w:rsidRPr="00734790">
        <w:rPr>
          <w:rFonts w:ascii="Times New Roman" w:eastAsia="Times New Roman" w:hAnsi="Times New Roman" w:cs="Times New Roman"/>
          <w:sz w:val="24"/>
          <w:szCs w:val="24"/>
        </w:rPr>
        <w:t xml:space="preserve">Bureau shall not </w:t>
      </w:r>
      <w:r w:rsidR="00DD029E">
        <w:rPr>
          <w:rFonts w:ascii="Times New Roman" w:eastAsia="Times New Roman" w:hAnsi="Times New Roman" w:cs="Times New Roman"/>
          <w:sz w:val="24"/>
          <w:szCs w:val="24"/>
        </w:rPr>
        <w:t>overlap with</w:t>
      </w:r>
      <w:r w:rsidRPr="00734790">
        <w:rPr>
          <w:rFonts w:ascii="Times New Roman" w:eastAsia="Times New Roman" w:hAnsi="Times New Roman" w:cs="Times New Roman"/>
          <w:sz w:val="24"/>
          <w:szCs w:val="24"/>
        </w:rPr>
        <w:t xml:space="preserve"> any shipboard security functions, ship-specific ISPS responsibilities, or any certification, approval, audit or compliance functions relating to vessel security, which fall within the mandate of the </w:t>
      </w:r>
      <w:r w:rsidR="00DA7D75">
        <w:rPr>
          <w:rFonts w:ascii="Times New Roman" w:eastAsia="Times New Roman" w:hAnsi="Times New Roman" w:cs="Times New Roman"/>
          <w:sz w:val="24"/>
          <w:szCs w:val="24"/>
        </w:rPr>
        <w:t>Administration or the recognised security organization</w:t>
      </w:r>
      <w:r w:rsidRPr="00734790">
        <w:rPr>
          <w:rFonts w:ascii="Times New Roman" w:eastAsia="Times New Roman" w:hAnsi="Times New Roman" w:cs="Times New Roman"/>
          <w:sz w:val="24"/>
          <w:szCs w:val="24"/>
        </w:rPr>
        <w:t xml:space="preserve"> authorised under section 129 of the Act </w:t>
      </w:r>
      <w:r w:rsidR="00DA7D75">
        <w:rPr>
          <w:rFonts w:ascii="Times New Roman" w:eastAsia="Times New Roman" w:hAnsi="Times New Roman" w:cs="Times New Roman"/>
          <w:sz w:val="24"/>
          <w:szCs w:val="24"/>
        </w:rPr>
        <w:t>and the MS (SPS) Rules, 2026</w:t>
      </w:r>
      <w:r w:rsidRPr="00734790">
        <w:rPr>
          <w:rFonts w:ascii="Times New Roman" w:eastAsia="Times New Roman" w:hAnsi="Times New Roman" w:cs="Times New Roman"/>
          <w:sz w:val="24"/>
          <w:szCs w:val="24"/>
        </w:rPr>
        <w:t>.</w:t>
      </w:r>
      <w:r w:rsidR="00943BA0">
        <w:rPr>
          <w:rFonts w:ascii="Times New Roman" w:eastAsia="Times New Roman" w:hAnsi="Times New Roman" w:cs="Times New Roman"/>
          <w:sz w:val="24"/>
          <w:szCs w:val="24"/>
        </w:rPr>
        <w:t xml:space="preserve"> </w:t>
      </w:r>
    </w:p>
    <w:p w14:paraId="393A4285" w14:textId="77777777" w:rsidR="00835018" w:rsidRPr="00734790" w:rsidRDefault="00835018" w:rsidP="00B40A19">
      <w:pPr>
        <w:pStyle w:val="ListParagraph"/>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Without prejudice to sub-rule (1), the Bureau shall—</w:t>
      </w:r>
    </w:p>
    <w:p w14:paraId="0B16BF16" w14:textId="2F75F2CE" w:rsidR="00835018" w:rsidRPr="00734790" w:rsidRDefault="00835018"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 xml:space="preserve">(a) formulate, implement and administer a regulatory framework for port-facility security, including coordination on matters at the </w:t>
      </w:r>
      <w:r w:rsidR="006C4BA8" w:rsidRPr="00734790">
        <w:rPr>
          <w:rFonts w:ascii="Times New Roman" w:eastAsia="Times New Roman" w:hAnsi="Times New Roman" w:cs="Times New Roman"/>
          <w:sz w:val="24"/>
          <w:szCs w:val="24"/>
        </w:rPr>
        <w:t xml:space="preserve">vessel–port </w:t>
      </w:r>
      <w:r w:rsidRPr="00734790">
        <w:rPr>
          <w:rFonts w:ascii="Times New Roman" w:eastAsia="Times New Roman" w:hAnsi="Times New Roman" w:cs="Times New Roman"/>
          <w:sz w:val="24"/>
          <w:szCs w:val="24"/>
        </w:rPr>
        <w:t xml:space="preserve">interface insofar as such coordination relates to </w:t>
      </w:r>
      <w:r w:rsidR="00DD029E">
        <w:rPr>
          <w:rFonts w:ascii="Times New Roman" w:eastAsia="Times New Roman" w:hAnsi="Times New Roman" w:cs="Times New Roman"/>
          <w:sz w:val="24"/>
          <w:szCs w:val="24"/>
        </w:rPr>
        <w:t>security of port facilities</w:t>
      </w:r>
      <w:r w:rsidRPr="00734790">
        <w:rPr>
          <w:rFonts w:ascii="Times New Roman" w:eastAsia="Times New Roman" w:hAnsi="Times New Roman" w:cs="Times New Roman"/>
          <w:sz w:val="24"/>
          <w:szCs w:val="24"/>
        </w:rPr>
        <w:t>;</w:t>
      </w:r>
    </w:p>
    <w:p w14:paraId="02AD6F82" w14:textId="77777777" w:rsidR="00835018" w:rsidRPr="00734790" w:rsidRDefault="00835018"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(b) collect, analyse and disseminate security-related information, alerts and risk assessments to relevant authorities and agencies;</w:t>
      </w:r>
    </w:p>
    <w:p w14:paraId="529B90C3" w14:textId="6BAB22BE" w:rsidR="00835018" w:rsidRPr="00734790" w:rsidRDefault="00835018"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(c) coordinate with the Central Government, State Governments, Port Authorities, Maritime Law Enforcement Agencies (MLEAs) and other stakeholders for implementation of port-facility security measures;</w:t>
      </w:r>
      <w:r w:rsidR="00D85EAA" w:rsidRPr="00734790">
        <w:rPr>
          <w:rFonts w:ascii="Times New Roman" w:eastAsia="Times New Roman" w:hAnsi="Times New Roman" w:cs="Times New Roman"/>
          <w:sz w:val="24"/>
          <w:szCs w:val="24"/>
        </w:rPr>
        <w:t xml:space="preserve"> </w:t>
      </w:r>
    </w:p>
    <w:p w14:paraId="350D6E12" w14:textId="5315B628" w:rsidR="00835018" w:rsidRDefault="00835018"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(d) monitor, supervise and review the implementation of port-facility security measures</w:t>
      </w:r>
      <w:r w:rsidR="0066681C">
        <w:rPr>
          <w:rFonts w:ascii="Times New Roman" w:eastAsia="Times New Roman" w:hAnsi="Times New Roman" w:cs="Times New Roman"/>
          <w:sz w:val="24"/>
          <w:szCs w:val="24"/>
        </w:rPr>
        <w:t xml:space="preserve"> prescribed in MS (SPS) Rules</w:t>
      </w:r>
      <w:r w:rsidRPr="00734790">
        <w:rPr>
          <w:rFonts w:ascii="Times New Roman" w:eastAsia="Times New Roman" w:hAnsi="Times New Roman" w:cs="Times New Roman"/>
          <w:sz w:val="24"/>
          <w:szCs w:val="24"/>
        </w:rPr>
        <w:t xml:space="preserve"> </w:t>
      </w:r>
      <w:r w:rsidR="0066681C">
        <w:rPr>
          <w:rFonts w:ascii="Times New Roman" w:eastAsia="Times New Roman" w:hAnsi="Times New Roman" w:cs="Times New Roman"/>
          <w:sz w:val="24"/>
          <w:szCs w:val="24"/>
        </w:rPr>
        <w:t>and t</w:t>
      </w:r>
      <w:r w:rsidRPr="00734790">
        <w:rPr>
          <w:rFonts w:ascii="Times New Roman" w:eastAsia="Times New Roman" w:hAnsi="Times New Roman" w:cs="Times New Roman"/>
          <w:sz w:val="24"/>
          <w:szCs w:val="24"/>
        </w:rPr>
        <w:t>hese rules by Port Facility Security Officers or other authorised pers</w:t>
      </w:r>
      <w:r w:rsidR="00D85EAA" w:rsidRPr="00734790">
        <w:rPr>
          <w:rFonts w:ascii="Times New Roman" w:eastAsia="Times New Roman" w:hAnsi="Times New Roman" w:cs="Times New Roman"/>
          <w:sz w:val="24"/>
          <w:szCs w:val="24"/>
        </w:rPr>
        <w:t>onnel of the port facility</w:t>
      </w:r>
      <w:r w:rsidR="0066681C">
        <w:rPr>
          <w:rFonts w:ascii="Times New Roman" w:eastAsia="Times New Roman" w:hAnsi="Times New Roman" w:cs="Times New Roman"/>
          <w:sz w:val="24"/>
          <w:szCs w:val="24"/>
        </w:rPr>
        <w:t>;</w:t>
      </w:r>
    </w:p>
    <w:p w14:paraId="4F1B9913" w14:textId="55460975" w:rsidR="0066681C" w:rsidRDefault="0066681C"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provide armed security guards onboard the vessel based on the specific security threats if any or based on the request from the company; and</w:t>
      </w:r>
    </w:p>
    <w:p w14:paraId="4B8EF1AB" w14:textId="558A222D" w:rsidR="0066681C" w:rsidRPr="00734790" w:rsidRDefault="0066681C"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regulate the private security agencies engaged by the port facilities for security services.</w:t>
      </w:r>
    </w:p>
    <w:p w14:paraId="5F44823A" w14:textId="77777777" w:rsidR="008C7674" w:rsidRPr="00734790" w:rsidRDefault="003F0FE4" w:rsidP="00B40A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34790">
        <w:rPr>
          <w:rFonts w:ascii="Times New Roman" w:eastAsia="Times New Roman" w:hAnsi="Times New Roman" w:cs="Times New Roman"/>
          <w:b/>
          <w:bCs/>
          <w:sz w:val="24"/>
          <w:szCs w:val="24"/>
        </w:rPr>
        <w:t>6. Regulatory Framework for Port-Facility Security</w:t>
      </w:r>
    </w:p>
    <w:p w14:paraId="6244D52B" w14:textId="77777777" w:rsidR="003E6D2D" w:rsidRDefault="006138DD" w:rsidP="003E6D2D">
      <w:pPr>
        <w:pStyle w:val="ListParagraph"/>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In accordance with clause (a) of sub-section (4) of section 13 of the Act, the Bureau shall establish and maintain a regulatory framework for po</w:t>
      </w:r>
      <w:r w:rsidR="003E6D2D">
        <w:rPr>
          <w:rFonts w:ascii="Times New Roman" w:eastAsia="Times New Roman" w:hAnsi="Times New Roman" w:cs="Times New Roman"/>
          <w:sz w:val="24"/>
          <w:szCs w:val="24"/>
        </w:rPr>
        <w:t>rt-facility security, including;</w:t>
      </w:r>
    </w:p>
    <w:p w14:paraId="05B2B442" w14:textId="77777777" w:rsidR="006138DD" w:rsidRPr="003E6D2D" w:rsidRDefault="006138DD" w:rsidP="003E6D2D">
      <w:pPr>
        <w:spacing w:before="100" w:beforeAutospacing="1" w:after="100" w:afterAutospacing="1" w:line="360" w:lineRule="auto"/>
        <w:ind w:left="720"/>
        <w:jc w:val="both"/>
        <w:rPr>
          <w:rFonts w:ascii="Times New Roman" w:eastAsia="Times New Roman" w:hAnsi="Times New Roman" w:cs="Times New Roman"/>
          <w:sz w:val="24"/>
          <w:szCs w:val="24"/>
        </w:rPr>
      </w:pPr>
      <w:r w:rsidRPr="003E6D2D">
        <w:rPr>
          <w:rFonts w:ascii="Times New Roman" w:eastAsia="Times New Roman" w:hAnsi="Times New Roman" w:cs="Times New Roman"/>
          <w:sz w:val="24"/>
          <w:szCs w:val="24"/>
        </w:rPr>
        <w:t>(a) standards, guidelines and procedures for port-facility security;</w:t>
      </w:r>
    </w:p>
    <w:p w14:paraId="33B9EF17" w14:textId="77777777" w:rsidR="006138DD" w:rsidRPr="00734790" w:rsidRDefault="006138DD"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w:t>
      </w:r>
      <w:r w:rsidR="003E6D2D">
        <w:rPr>
          <w:rFonts w:ascii="Times New Roman" w:eastAsia="Times New Roman" w:hAnsi="Times New Roman" w:cs="Times New Roman"/>
          <w:sz w:val="24"/>
          <w:szCs w:val="24"/>
        </w:rPr>
        <w:t xml:space="preserve">b) </w:t>
      </w:r>
      <w:r w:rsidRPr="00734790">
        <w:rPr>
          <w:rFonts w:ascii="Times New Roman" w:eastAsia="Times New Roman" w:hAnsi="Times New Roman" w:cs="Times New Roman"/>
          <w:sz w:val="24"/>
          <w:szCs w:val="24"/>
        </w:rPr>
        <w:t>mechanisms for risk-based categorisation of port facilities considering threat environment, operational characteristics and vessel-movement patterns relevant to port-facility security;</w:t>
      </w:r>
    </w:p>
    <w:p w14:paraId="7F161826" w14:textId="77777777" w:rsidR="006138DD" w:rsidRPr="00734790" w:rsidRDefault="006138DD"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 xml:space="preserve">(c) procedures for the review and monitoring of Port Facility Security Plans (PFSPs) in respect of port-side security measures, and coordination with the authority authorised under section 129 of the Act on matters affecting port-side aspects of the </w:t>
      </w:r>
      <w:r w:rsidR="006C4BA8" w:rsidRPr="00734790">
        <w:rPr>
          <w:rFonts w:ascii="Times New Roman" w:eastAsia="Times New Roman" w:hAnsi="Times New Roman" w:cs="Times New Roman"/>
          <w:sz w:val="24"/>
          <w:szCs w:val="24"/>
        </w:rPr>
        <w:t xml:space="preserve">vessel–port </w:t>
      </w:r>
      <w:r w:rsidRPr="00734790">
        <w:rPr>
          <w:rFonts w:ascii="Times New Roman" w:eastAsia="Times New Roman" w:hAnsi="Times New Roman" w:cs="Times New Roman"/>
          <w:sz w:val="24"/>
          <w:szCs w:val="24"/>
        </w:rPr>
        <w:t>interface;</w:t>
      </w:r>
    </w:p>
    <w:p w14:paraId="0DA95EFF" w14:textId="77777777" w:rsidR="006138DD" w:rsidRPr="00734790" w:rsidRDefault="006138DD"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(d) minimum requirements relating to security equipment, personnel and infrastructure necessary for the effective implementation of port-facility security measures; and</w:t>
      </w:r>
    </w:p>
    <w:p w14:paraId="35AE1369" w14:textId="77777777" w:rsidR="00D85EAA" w:rsidRPr="00734790" w:rsidRDefault="006138DD"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(e) protocols for inspections, audits and operational monitoring for verifying compliance with the regulatory framework established under these rules.</w:t>
      </w:r>
    </w:p>
    <w:p w14:paraId="722B7484" w14:textId="77777777" w:rsidR="00922245" w:rsidRPr="00734790" w:rsidRDefault="007752F5" w:rsidP="00B40A1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34790">
        <w:rPr>
          <w:rFonts w:ascii="Times New Roman" w:eastAsia="Times New Roman" w:hAnsi="Times New Roman" w:cs="Times New Roman"/>
          <w:b/>
          <w:bCs/>
          <w:sz w:val="24"/>
          <w:szCs w:val="24"/>
        </w:rPr>
        <w:t>7</w:t>
      </w:r>
      <w:r w:rsidR="00FA6054" w:rsidRPr="00734790">
        <w:rPr>
          <w:rFonts w:ascii="Times New Roman" w:eastAsia="Times New Roman" w:hAnsi="Times New Roman" w:cs="Times New Roman"/>
          <w:b/>
          <w:bCs/>
          <w:sz w:val="24"/>
          <w:szCs w:val="24"/>
        </w:rPr>
        <w:t>.</w:t>
      </w:r>
      <w:r w:rsidR="00922245" w:rsidRPr="00734790">
        <w:rPr>
          <w:rFonts w:ascii="Times New Roman" w:eastAsia="Times New Roman" w:hAnsi="Times New Roman" w:cs="Times New Roman"/>
          <w:b/>
          <w:bCs/>
          <w:sz w:val="24"/>
          <w:szCs w:val="24"/>
        </w:rPr>
        <w:t xml:space="preserve"> Timely Collection and Exchange of Security-Related Information</w:t>
      </w:r>
    </w:p>
    <w:p w14:paraId="0821CFD6" w14:textId="77777777" w:rsidR="00923C7F" w:rsidRPr="00734790" w:rsidRDefault="00923C7F" w:rsidP="00B40A19">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In accordance with clause (b) of sub-section (4) of section 13 of the Act, the Bureau shall ensure the timely collection, collation and exchange of security-related informa</w:t>
      </w:r>
      <w:r w:rsidR="006138DD" w:rsidRPr="00734790">
        <w:rPr>
          <w:rFonts w:ascii="Times New Roman" w:eastAsia="Times New Roman" w:hAnsi="Times New Roman" w:cs="Times New Roman"/>
          <w:sz w:val="24"/>
          <w:szCs w:val="24"/>
        </w:rPr>
        <w:t xml:space="preserve">tion with regard to </w:t>
      </w:r>
      <w:r w:rsidRPr="00734790">
        <w:rPr>
          <w:rFonts w:ascii="Times New Roman" w:eastAsia="Times New Roman" w:hAnsi="Times New Roman" w:cs="Times New Roman"/>
          <w:sz w:val="24"/>
          <w:szCs w:val="24"/>
        </w:rPr>
        <w:t>port facilities.</w:t>
      </w:r>
    </w:p>
    <w:p w14:paraId="142EFD2B" w14:textId="77777777" w:rsidR="00923C7F" w:rsidRPr="00734790" w:rsidRDefault="00923C7F" w:rsidP="00B40A19">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For the purposes of information collection</w:t>
      </w:r>
      <w:r w:rsidR="00651B1C" w:rsidRPr="00734790">
        <w:rPr>
          <w:rFonts w:ascii="Times New Roman" w:eastAsia="Times New Roman" w:hAnsi="Times New Roman" w:cs="Times New Roman"/>
          <w:sz w:val="24"/>
          <w:szCs w:val="24"/>
        </w:rPr>
        <w:t xml:space="preserve"> and exchange, the Bureau shall - </w:t>
      </w:r>
    </w:p>
    <w:p w14:paraId="69B3057A" w14:textId="77777777" w:rsidR="00923C7F" w:rsidRPr="00734790" w:rsidRDefault="00923C7F"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(a) establish communication mechanisms with Central and State Governments, Port Authorities, and Maritime Law Enforcement Agencies;</w:t>
      </w:r>
    </w:p>
    <w:p w14:paraId="13E615A1" w14:textId="77777777" w:rsidR="00923C7F" w:rsidRPr="00734790" w:rsidRDefault="00923C7F" w:rsidP="00B40A19">
      <w:pPr>
        <w:spacing w:line="360" w:lineRule="auto"/>
        <w:ind w:left="720"/>
        <w:jc w:val="both"/>
        <w:rPr>
          <w:rFonts w:ascii="Times New Roman" w:hAnsi="Times New Roman" w:cs="Times New Roman"/>
          <w:sz w:val="24"/>
          <w:szCs w:val="24"/>
        </w:rPr>
      </w:pPr>
      <w:r w:rsidRPr="00734790">
        <w:rPr>
          <w:rFonts w:ascii="Times New Roman" w:eastAsia="Times New Roman" w:hAnsi="Times New Roman" w:cs="Times New Roman"/>
          <w:sz w:val="24"/>
          <w:szCs w:val="24"/>
        </w:rPr>
        <w:t xml:space="preserve">(b) </w:t>
      </w:r>
      <w:r w:rsidR="00D42389" w:rsidRPr="00734790">
        <w:rPr>
          <w:rFonts w:ascii="Times New Roman" w:hAnsi="Times New Roman" w:cs="Times New Roman"/>
          <w:sz w:val="24"/>
          <w:szCs w:val="24"/>
        </w:rPr>
        <w:t>maintain records, reports and assessments relating to threats, incidents and vulnerabilities affecting port-facility security operations;</w:t>
      </w:r>
    </w:p>
    <w:p w14:paraId="7CD88213" w14:textId="77777777" w:rsidR="00923C7F" w:rsidRPr="00734790" w:rsidRDefault="00923C7F"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(c) disseminate relevant security information to the concerned authorities in a timely manner to facilitate prevention, mitigation or response to security threats;</w:t>
      </w:r>
    </w:p>
    <w:p w14:paraId="190302C6" w14:textId="77777777" w:rsidR="00923C7F" w:rsidRPr="00734790" w:rsidRDefault="00923C7F"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(d) ensure that all information handling, storage and dissemination are in accordance with applicable laws relating to confidentiality, data protection and operational security; and</w:t>
      </w:r>
    </w:p>
    <w:p w14:paraId="238E20C0" w14:textId="77777777" w:rsidR="00922245" w:rsidRPr="00734790" w:rsidRDefault="00923C7F"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(e) coordinate with authorised intelligence and maritime security agencies for obtaining and providing updates on relevant threats or vulnerabilities.</w:t>
      </w:r>
    </w:p>
    <w:p w14:paraId="1E8B2FC8" w14:textId="77777777" w:rsidR="003A4F24" w:rsidRPr="00734790" w:rsidRDefault="00FA6054" w:rsidP="00B40A19">
      <w:pPr>
        <w:pStyle w:val="NormalWeb"/>
        <w:spacing w:line="360" w:lineRule="auto"/>
        <w:jc w:val="both"/>
      </w:pPr>
      <w:r w:rsidRPr="00734790">
        <w:rPr>
          <w:rStyle w:val="Strong"/>
        </w:rPr>
        <w:t>8.</w:t>
      </w:r>
      <w:r w:rsidR="003A4F24" w:rsidRPr="00734790">
        <w:rPr>
          <w:rStyle w:val="Strong"/>
        </w:rPr>
        <w:t xml:space="preserve"> Coordination and Liaison with Central, State, and Port Authorities</w:t>
      </w:r>
    </w:p>
    <w:p w14:paraId="5CB4D0D0" w14:textId="77777777" w:rsidR="009D08E2" w:rsidRPr="00734790" w:rsidRDefault="00272D84" w:rsidP="00B40A19">
      <w:pPr>
        <w:pStyle w:val="NormalWeb"/>
        <w:numPr>
          <w:ilvl w:val="0"/>
          <w:numId w:val="8"/>
        </w:numPr>
        <w:spacing w:line="360" w:lineRule="auto"/>
        <w:jc w:val="both"/>
      </w:pPr>
      <w:r w:rsidRPr="00734790">
        <w:t xml:space="preserve">In accordance with clauses (c) and (d) of sub-section (4) of section 13 of the Act, the Bureau shall coordinate and maintain liaison with Central and State Governments, Port Authorities, Maritime Law Enforcement Agencies, port-facility officers, companies, and other stakeholders for the effective implementation of security measures relating to port facilities operations, including coordination at the </w:t>
      </w:r>
      <w:r w:rsidR="006C4BA8" w:rsidRPr="00734790">
        <w:t xml:space="preserve">vessel–port </w:t>
      </w:r>
      <w:r w:rsidRPr="00734790">
        <w:t>interface.</w:t>
      </w:r>
    </w:p>
    <w:p w14:paraId="1FBBAE81" w14:textId="77777777" w:rsidR="009D08E2" w:rsidRPr="00734790" w:rsidRDefault="009D08E2" w:rsidP="00B40A19">
      <w:pPr>
        <w:pStyle w:val="NormalWeb"/>
        <w:numPr>
          <w:ilvl w:val="0"/>
          <w:numId w:val="8"/>
        </w:numPr>
        <w:spacing w:line="360" w:lineRule="auto"/>
        <w:jc w:val="both"/>
      </w:pPr>
      <w:r w:rsidRPr="00734790">
        <w:t>For the purposes of coordination and liaison, the Bureau shall—</w:t>
      </w:r>
    </w:p>
    <w:p w14:paraId="7E2256C3" w14:textId="77777777" w:rsidR="009D08E2" w:rsidRPr="00734790" w:rsidRDefault="009D08E2" w:rsidP="00B40A19">
      <w:pPr>
        <w:pStyle w:val="NormalWeb"/>
        <w:spacing w:line="360" w:lineRule="auto"/>
        <w:ind w:left="720"/>
        <w:jc w:val="both"/>
      </w:pPr>
      <w:r w:rsidRPr="00734790">
        <w:t>(a) coordinate with Maritime Law Enforcement Agen</w:t>
      </w:r>
      <w:r w:rsidR="006138DD" w:rsidRPr="00734790">
        <w:t>cies, including the Director-</w:t>
      </w:r>
      <w:r w:rsidRPr="00734790">
        <w:t>General, and such other agencies notified by the Central Government;</w:t>
      </w:r>
    </w:p>
    <w:p w14:paraId="0667771F" w14:textId="77777777" w:rsidR="009D08E2" w:rsidRPr="00734790" w:rsidRDefault="009D08E2" w:rsidP="00B40A19">
      <w:pPr>
        <w:pStyle w:val="NormalWeb"/>
        <w:spacing w:line="360" w:lineRule="auto"/>
        <w:ind w:left="720"/>
        <w:jc w:val="both"/>
      </w:pPr>
      <w:r w:rsidRPr="00734790">
        <w:t>(b) engage with State Maritime Boards, Port Authorities and port-facility security committees to promote uniform application of prescribed security standards and procedures;</w:t>
      </w:r>
    </w:p>
    <w:p w14:paraId="4A51928A" w14:textId="77777777" w:rsidR="009D08E2" w:rsidRPr="00734790" w:rsidRDefault="00A408D1" w:rsidP="00B40A19">
      <w:pPr>
        <w:pStyle w:val="NormalWeb"/>
        <w:spacing w:line="360" w:lineRule="auto"/>
        <w:ind w:left="720"/>
        <w:jc w:val="both"/>
      </w:pPr>
      <w:r w:rsidRPr="00734790">
        <w:t>(c) collaborate with Port Facility Security Officers for review and monitoring of Port Facility Security Plans and, where necessary, coordinate with Co</w:t>
      </w:r>
      <w:r w:rsidR="008E26C2" w:rsidRPr="00734790">
        <w:t>mpany Security Officers</w:t>
      </w:r>
      <w:r w:rsidRPr="00734790">
        <w:t xml:space="preserve"> in relation to port-side security measures at the </w:t>
      </w:r>
      <w:r w:rsidR="006C4BA8" w:rsidRPr="00734790">
        <w:t xml:space="preserve">vessel–port </w:t>
      </w:r>
      <w:r w:rsidRPr="00734790">
        <w:t>interface, without undertaking any shipboard or ship-security responsibilities.</w:t>
      </w:r>
    </w:p>
    <w:p w14:paraId="366F8D67" w14:textId="77777777" w:rsidR="009D08E2" w:rsidRPr="002A43BD" w:rsidRDefault="009D08E2" w:rsidP="00B40A19">
      <w:pPr>
        <w:pStyle w:val="NormalWeb"/>
        <w:spacing w:line="360" w:lineRule="auto"/>
        <w:ind w:left="720"/>
        <w:jc w:val="both"/>
      </w:pPr>
      <w:r w:rsidRPr="002A43BD">
        <w:t>(d) act as a point of contact for inter-agency security coordination, including the exchange of information and threat-related reports;</w:t>
      </w:r>
    </w:p>
    <w:p w14:paraId="70907704" w14:textId="77777777" w:rsidR="009D08E2" w:rsidRPr="00734790" w:rsidRDefault="009D08E2" w:rsidP="00B40A19">
      <w:pPr>
        <w:pStyle w:val="NormalWeb"/>
        <w:spacing w:line="360" w:lineRule="auto"/>
        <w:ind w:left="720"/>
        <w:jc w:val="both"/>
      </w:pPr>
      <w:r w:rsidRPr="00734790">
        <w:t xml:space="preserve">(e) facilitate joint inspections, assessments and reviews relating to the </w:t>
      </w:r>
      <w:r w:rsidR="00272D84" w:rsidRPr="00734790">
        <w:t>port-facility security</w:t>
      </w:r>
      <w:r w:rsidRPr="00734790">
        <w:t xml:space="preserve"> in coordination with the relevant authorities; and</w:t>
      </w:r>
    </w:p>
    <w:p w14:paraId="7132C30B" w14:textId="77777777" w:rsidR="003A4F24" w:rsidRPr="00734790" w:rsidRDefault="009D08E2" w:rsidP="00B40A19">
      <w:pPr>
        <w:pStyle w:val="NormalWeb"/>
        <w:spacing w:line="360" w:lineRule="auto"/>
        <w:ind w:left="720"/>
        <w:jc w:val="both"/>
      </w:pPr>
      <w:r w:rsidRPr="00734790">
        <w:t>(f) provide technical and advisory support to authorities and stakeholders for strengthening security preparedness and compliance.</w:t>
      </w:r>
    </w:p>
    <w:p w14:paraId="43718118" w14:textId="77777777" w:rsidR="001D3A0F" w:rsidRPr="00734790" w:rsidRDefault="007752F5" w:rsidP="00B40A19">
      <w:pPr>
        <w:spacing w:before="100" w:beforeAutospacing="1" w:after="100" w:afterAutospacing="1" w:line="360" w:lineRule="auto"/>
        <w:jc w:val="both"/>
        <w:rPr>
          <w:rFonts w:ascii="Times New Roman" w:eastAsia="Times New Roman" w:hAnsi="Times New Roman" w:cs="Times New Roman"/>
          <w:b/>
          <w:bCs/>
          <w:sz w:val="24"/>
          <w:szCs w:val="24"/>
        </w:rPr>
      </w:pPr>
      <w:r w:rsidRPr="00734790">
        <w:rPr>
          <w:rFonts w:ascii="Times New Roman" w:eastAsia="Times New Roman" w:hAnsi="Times New Roman" w:cs="Times New Roman"/>
          <w:b/>
          <w:bCs/>
          <w:sz w:val="24"/>
          <w:szCs w:val="24"/>
        </w:rPr>
        <w:t>9</w:t>
      </w:r>
      <w:r w:rsidR="00FA6054" w:rsidRPr="00734790">
        <w:rPr>
          <w:rFonts w:ascii="Times New Roman" w:eastAsia="Times New Roman" w:hAnsi="Times New Roman" w:cs="Times New Roman"/>
          <w:b/>
          <w:bCs/>
          <w:sz w:val="24"/>
          <w:szCs w:val="24"/>
        </w:rPr>
        <w:t>.</w:t>
      </w:r>
      <w:r w:rsidR="001D3A0F" w:rsidRPr="00734790">
        <w:rPr>
          <w:rFonts w:ascii="Times New Roman" w:eastAsia="Times New Roman" w:hAnsi="Times New Roman" w:cs="Times New Roman"/>
          <w:b/>
          <w:bCs/>
          <w:sz w:val="24"/>
          <w:szCs w:val="24"/>
        </w:rPr>
        <w:t xml:space="preserve"> Formulation of Security Standards and Guidelines</w:t>
      </w:r>
    </w:p>
    <w:p w14:paraId="7472588C" w14:textId="77777777" w:rsidR="009D08E2" w:rsidRPr="00734790" w:rsidRDefault="00E16AA5" w:rsidP="00B40A19">
      <w:pPr>
        <w:pStyle w:val="NormalWeb"/>
        <w:numPr>
          <w:ilvl w:val="0"/>
          <w:numId w:val="9"/>
        </w:numPr>
        <w:spacing w:line="360" w:lineRule="auto"/>
        <w:jc w:val="both"/>
      </w:pPr>
      <w:r w:rsidRPr="00734790">
        <w:t xml:space="preserve">The Bureau shall formulate, issue and periodically update security standards, guidelines and procedures relating to </w:t>
      </w:r>
      <w:r w:rsidRPr="00734790">
        <w:rPr>
          <w:rStyle w:val="Strong"/>
          <w:b w:val="0"/>
          <w:bCs w:val="0"/>
        </w:rPr>
        <w:t>port facility security</w:t>
      </w:r>
      <w:r w:rsidRPr="00734790">
        <w:t>, consistent with the regulatory framework established under these rules and the provisions of the Act.</w:t>
      </w:r>
    </w:p>
    <w:p w14:paraId="61BBE31A" w14:textId="77777777" w:rsidR="009D08E2" w:rsidRPr="00734790" w:rsidRDefault="009D08E2" w:rsidP="00B40A19">
      <w:pPr>
        <w:pStyle w:val="NormalWeb"/>
        <w:numPr>
          <w:ilvl w:val="0"/>
          <w:numId w:val="9"/>
        </w:numPr>
        <w:spacing w:line="360" w:lineRule="auto"/>
        <w:jc w:val="both"/>
      </w:pPr>
      <w:r w:rsidRPr="00734790">
        <w:t>The standards and guidelines issued by the Bureau may include—</w:t>
      </w:r>
    </w:p>
    <w:p w14:paraId="00043A2F" w14:textId="77777777" w:rsidR="00272D84" w:rsidRPr="00734790" w:rsidRDefault="00272D84" w:rsidP="00B40A19">
      <w:pPr>
        <w:pStyle w:val="NormalWeb"/>
        <w:spacing w:line="360" w:lineRule="auto"/>
        <w:ind w:left="720"/>
        <w:jc w:val="both"/>
      </w:pPr>
      <w:r w:rsidRPr="00734790">
        <w:t>(a) specifications for access control, surveillance, monitoring, screening, patrolling, and other security measures applicable to port facilities;</w:t>
      </w:r>
    </w:p>
    <w:p w14:paraId="3D38D978" w14:textId="77777777" w:rsidR="00272D84" w:rsidRPr="00734790" w:rsidRDefault="00272D84" w:rsidP="00B40A19">
      <w:pPr>
        <w:pStyle w:val="NormalWeb"/>
        <w:spacing w:line="360" w:lineRule="auto"/>
        <w:ind w:left="720"/>
        <w:jc w:val="both"/>
      </w:pPr>
      <w:r w:rsidRPr="00734790">
        <w:t xml:space="preserve">(b) guidance on technology, </w:t>
      </w:r>
      <w:r w:rsidRPr="006117B7">
        <w:t>cybersecurity measures</w:t>
      </w:r>
      <w:r w:rsidRPr="00734790">
        <w:t xml:space="preserve"> and emergency-response arrangements relevant to port-facility security and the vessel–port interface;</w:t>
      </w:r>
    </w:p>
    <w:p w14:paraId="48FB9382" w14:textId="77777777" w:rsidR="009D08E2" w:rsidRPr="00734790" w:rsidRDefault="00272D84" w:rsidP="00B40A19">
      <w:pPr>
        <w:pStyle w:val="NormalWeb"/>
        <w:spacing w:line="360" w:lineRule="auto"/>
        <w:ind w:left="720"/>
        <w:jc w:val="both"/>
      </w:pPr>
      <w:r w:rsidRPr="00734790">
        <w:t>(c) methodologies for security risk assessment, drills and exercises, and audit and review procedures for port facilities; and</w:t>
      </w:r>
    </w:p>
    <w:p w14:paraId="7656AB6E" w14:textId="77777777" w:rsidR="009D08E2" w:rsidRPr="00734790" w:rsidRDefault="009D08E2" w:rsidP="00B40A19">
      <w:pPr>
        <w:pStyle w:val="NormalWeb"/>
        <w:spacing w:line="360" w:lineRule="auto"/>
        <w:ind w:left="720"/>
        <w:jc w:val="both"/>
      </w:pPr>
      <w:r w:rsidRPr="00734790">
        <w:rPr>
          <w:rStyle w:val="Strong"/>
          <w:b w:val="0"/>
          <w:bCs w:val="0"/>
        </w:rPr>
        <w:t>(d)</w:t>
      </w:r>
      <w:r w:rsidRPr="00734790">
        <w:t xml:space="preserve"> </w:t>
      </w:r>
      <w:r w:rsidR="00E16AA5" w:rsidRPr="00734790">
        <w:t>any additional measures required for securing port facilities, consistent with national security requirements and directives issued by the Central Government.</w:t>
      </w:r>
    </w:p>
    <w:p w14:paraId="75FB868E" w14:textId="77777777" w:rsidR="001D3A0F" w:rsidRPr="00734790" w:rsidRDefault="009D08E2" w:rsidP="00B40A19">
      <w:pPr>
        <w:pStyle w:val="NormalWeb"/>
        <w:numPr>
          <w:ilvl w:val="0"/>
          <w:numId w:val="9"/>
        </w:numPr>
        <w:spacing w:line="360" w:lineRule="auto"/>
        <w:jc w:val="both"/>
      </w:pPr>
      <w:r w:rsidRPr="00734790">
        <w:t>Security standards and guidelines issued by the Bureau shall be notified or communicated to relevant authorities and stakeholders, as may be appropriate.</w:t>
      </w:r>
    </w:p>
    <w:p w14:paraId="4D65EF7E" w14:textId="77777777" w:rsidR="001D3A0F" w:rsidRPr="00734790" w:rsidRDefault="007752F5" w:rsidP="00B40A19">
      <w:pPr>
        <w:pStyle w:val="NormalWeb"/>
        <w:spacing w:line="360" w:lineRule="auto"/>
        <w:jc w:val="both"/>
      </w:pPr>
      <w:r w:rsidRPr="00734790">
        <w:rPr>
          <w:rStyle w:val="Strong"/>
        </w:rPr>
        <w:t>10</w:t>
      </w:r>
      <w:r w:rsidR="00FA6054" w:rsidRPr="00734790">
        <w:rPr>
          <w:rStyle w:val="Strong"/>
        </w:rPr>
        <w:t>.</w:t>
      </w:r>
      <w:r w:rsidR="001D3A0F" w:rsidRPr="00734790">
        <w:rPr>
          <w:rStyle w:val="Strong"/>
        </w:rPr>
        <w:t xml:space="preserve"> Security Training and Capacity Building</w:t>
      </w:r>
    </w:p>
    <w:p w14:paraId="5AA1A2FE" w14:textId="77777777" w:rsidR="00ED550C" w:rsidRPr="00734790" w:rsidRDefault="00ED550C" w:rsidP="00B40A19">
      <w:pPr>
        <w:pStyle w:val="NormalWeb"/>
        <w:numPr>
          <w:ilvl w:val="0"/>
          <w:numId w:val="10"/>
        </w:numPr>
        <w:spacing w:line="360" w:lineRule="auto"/>
        <w:jc w:val="both"/>
      </w:pPr>
      <w:r w:rsidRPr="00734790">
        <w:t>The Bureau shall design, implement, and oversee training programmes to enhance the skills and awareness of personnel engaged in port-facility security, within the scope of its mandate under the Act.</w:t>
      </w:r>
    </w:p>
    <w:p w14:paraId="05F6CB89" w14:textId="77777777" w:rsidR="00ED550C" w:rsidRPr="00734790" w:rsidRDefault="00ED550C" w:rsidP="00B40A19">
      <w:pPr>
        <w:pStyle w:val="NormalWeb"/>
        <w:numPr>
          <w:ilvl w:val="0"/>
          <w:numId w:val="10"/>
        </w:numPr>
        <w:spacing w:line="360" w:lineRule="auto"/>
        <w:jc w:val="both"/>
      </w:pPr>
      <w:r w:rsidRPr="00734790">
        <w:t>Without prejudice to the generality of the foregoing, the Bureau shall—</w:t>
      </w:r>
    </w:p>
    <w:p w14:paraId="67EAF167" w14:textId="77777777" w:rsidR="00ED550C" w:rsidRPr="00DE12EB" w:rsidRDefault="00ED550C" w:rsidP="00B40A19">
      <w:pPr>
        <w:pStyle w:val="NormalWeb"/>
        <w:spacing w:line="360" w:lineRule="auto"/>
        <w:ind w:left="720"/>
        <w:jc w:val="both"/>
      </w:pPr>
      <w:r w:rsidRPr="00734790">
        <w:rPr>
          <w:rStyle w:val="Strong"/>
          <w:b w:val="0"/>
          <w:bCs w:val="0"/>
        </w:rPr>
        <w:t>(a)</w:t>
      </w:r>
      <w:r w:rsidRPr="00734790">
        <w:t xml:space="preserve"> establish or approve </w:t>
      </w:r>
      <w:r w:rsidRPr="00DE12EB">
        <w:t>training facilities for imparting port-security related training;</w:t>
      </w:r>
    </w:p>
    <w:p w14:paraId="3B3BE3D2" w14:textId="77777777" w:rsidR="00ED550C" w:rsidRPr="00734790" w:rsidRDefault="00ED550C" w:rsidP="00B40A19">
      <w:pPr>
        <w:pStyle w:val="NormalWeb"/>
        <w:spacing w:line="360" w:lineRule="auto"/>
        <w:ind w:left="720"/>
        <w:jc w:val="both"/>
      </w:pPr>
      <w:r w:rsidRPr="00DE12EB">
        <w:rPr>
          <w:rStyle w:val="Strong"/>
          <w:b w:val="0"/>
          <w:bCs w:val="0"/>
        </w:rPr>
        <w:t>(b)</w:t>
      </w:r>
      <w:r w:rsidRPr="00DE12EB">
        <w:t xml:space="preserve"> conduct capacity-bu</w:t>
      </w:r>
      <w:r w:rsidRPr="00734790">
        <w:t>ilding programmes, workshops, and exercises for port authorities, Port Facility Security Officers, and other port-side personnel;</w:t>
      </w:r>
    </w:p>
    <w:p w14:paraId="039FBC3F" w14:textId="77777777" w:rsidR="00ED550C" w:rsidRPr="00734790" w:rsidRDefault="00ED550C" w:rsidP="00B40A19">
      <w:pPr>
        <w:pStyle w:val="NormalWeb"/>
        <w:spacing w:line="360" w:lineRule="auto"/>
        <w:ind w:left="720"/>
        <w:jc w:val="both"/>
      </w:pPr>
      <w:r w:rsidRPr="00734790">
        <w:rPr>
          <w:rStyle w:val="Strong"/>
          <w:b w:val="0"/>
          <w:bCs w:val="0"/>
        </w:rPr>
        <w:t>(c)</w:t>
      </w:r>
      <w:r w:rsidRPr="00734790">
        <w:t xml:space="preserve"> develop training curricula, modules, and materials reflecting national security requirements, emerging threats, and best practices in port-facility security;</w:t>
      </w:r>
    </w:p>
    <w:p w14:paraId="22055EE8" w14:textId="77777777" w:rsidR="00ED550C" w:rsidRPr="00734790" w:rsidRDefault="00ED550C" w:rsidP="00B40A19">
      <w:pPr>
        <w:pStyle w:val="NormalWeb"/>
        <w:spacing w:line="360" w:lineRule="auto"/>
        <w:ind w:left="720"/>
        <w:jc w:val="both"/>
      </w:pPr>
      <w:r w:rsidRPr="00734790">
        <w:rPr>
          <w:rStyle w:val="Strong"/>
          <w:b w:val="0"/>
          <w:bCs w:val="0"/>
        </w:rPr>
        <w:t>(d)</w:t>
      </w:r>
      <w:r w:rsidRPr="00734790">
        <w:t xml:space="preserve"> maintain records of training, certifications, and evaluations of personnel for ensuring continuous improvement; and</w:t>
      </w:r>
    </w:p>
    <w:p w14:paraId="4316AF97" w14:textId="77777777" w:rsidR="00ED550C" w:rsidRPr="00734790" w:rsidRDefault="00ED550C" w:rsidP="00B40A19">
      <w:pPr>
        <w:pStyle w:val="NormalWeb"/>
        <w:spacing w:line="360" w:lineRule="auto"/>
        <w:ind w:left="720"/>
        <w:jc w:val="both"/>
      </w:pPr>
      <w:r w:rsidRPr="00734790">
        <w:rPr>
          <w:rStyle w:val="Strong"/>
          <w:b w:val="0"/>
          <w:bCs w:val="0"/>
        </w:rPr>
        <w:t>(e)</w:t>
      </w:r>
      <w:r w:rsidRPr="00734790">
        <w:t xml:space="preserve"> provide technical guidance and advisory support to port authorities and Maritime Law Enforcement Agencies (MLEAs) for improving operational preparedness.</w:t>
      </w:r>
    </w:p>
    <w:p w14:paraId="585B0E5E" w14:textId="77777777" w:rsidR="001D3A0F" w:rsidRPr="00734790" w:rsidRDefault="00ED550C" w:rsidP="00B40A19">
      <w:pPr>
        <w:pStyle w:val="NormalWeb"/>
        <w:numPr>
          <w:ilvl w:val="0"/>
          <w:numId w:val="10"/>
        </w:numPr>
        <w:spacing w:line="360" w:lineRule="auto"/>
        <w:jc w:val="both"/>
      </w:pPr>
      <w:r w:rsidRPr="00734790">
        <w:t>The Bureau may collaborate with national and international agencies, educational institutions, and professional organisations to ensure that training standards remain current, effective, and aligned with evolving port-security challenges.</w:t>
      </w:r>
    </w:p>
    <w:p w14:paraId="3843162C" w14:textId="77777777" w:rsidR="001D3A0F" w:rsidRPr="00734790" w:rsidRDefault="005F5F73" w:rsidP="00F279C8">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734790">
        <w:rPr>
          <w:rFonts w:ascii="Times New Roman" w:eastAsia="Times New Roman" w:hAnsi="Times New Roman" w:cs="Times New Roman"/>
          <w:b/>
          <w:bCs/>
          <w:sz w:val="24"/>
          <w:szCs w:val="24"/>
        </w:rPr>
        <w:t>CHAPTER IV</w:t>
      </w:r>
      <w:r w:rsidRPr="00734790">
        <w:rPr>
          <w:rFonts w:ascii="Times New Roman" w:eastAsia="Times New Roman" w:hAnsi="Times New Roman" w:cs="Times New Roman"/>
          <w:b/>
          <w:bCs/>
          <w:sz w:val="24"/>
          <w:szCs w:val="24"/>
        </w:rPr>
        <w:br/>
      </w:r>
      <w:r w:rsidR="001D3A0F" w:rsidRPr="00734790">
        <w:rPr>
          <w:rFonts w:ascii="Times New Roman" w:eastAsia="Times New Roman" w:hAnsi="Times New Roman" w:cs="Times New Roman"/>
          <w:b/>
          <w:bCs/>
          <w:sz w:val="24"/>
          <w:szCs w:val="24"/>
        </w:rPr>
        <w:t>OPERATIONAL FRAMEWORK</w:t>
      </w:r>
    </w:p>
    <w:p w14:paraId="00B670A7" w14:textId="77777777" w:rsidR="001D3A0F" w:rsidRPr="00734790" w:rsidRDefault="007752F5" w:rsidP="00B40A19">
      <w:pPr>
        <w:spacing w:before="100" w:beforeAutospacing="1" w:after="100" w:afterAutospacing="1" w:line="360" w:lineRule="auto"/>
        <w:jc w:val="both"/>
        <w:rPr>
          <w:rFonts w:ascii="Times New Roman" w:eastAsia="Times New Roman" w:hAnsi="Times New Roman" w:cs="Times New Roman"/>
          <w:b/>
          <w:bCs/>
          <w:sz w:val="24"/>
          <w:szCs w:val="24"/>
        </w:rPr>
      </w:pPr>
      <w:r w:rsidRPr="00734790">
        <w:rPr>
          <w:rFonts w:ascii="Times New Roman" w:eastAsia="Times New Roman" w:hAnsi="Times New Roman" w:cs="Times New Roman"/>
          <w:b/>
          <w:bCs/>
          <w:sz w:val="24"/>
          <w:szCs w:val="24"/>
        </w:rPr>
        <w:t>11</w:t>
      </w:r>
      <w:r w:rsidR="00FA6054" w:rsidRPr="00734790">
        <w:rPr>
          <w:rFonts w:ascii="Times New Roman" w:eastAsia="Times New Roman" w:hAnsi="Times New Roman" w:cs="Times New Roman"/>
          <w:b/>
          <w:bCs/>
          <w:sz w:val="24"/>
          <w:szCs w:val="24"/>
        </w:rPr>
        <w:t>.</w:t>
      </w:r>
      <w:r w:rsidR="001D3A0F" w:rsidRPr="00734790">
        <w:rPr>
          <w:rFonts w:ascii="Times New Roman" w:eastAsia="Times New Roman" w:hAnsi="Times New Roman" w:cs="Times New Roman"/>
          <w:b/>
          <w:bCs/>
          <w:sz w:val="24"/>
          <w:szCs w:val="24"/>
        </w:rPr>
        <w:t xml:space="preserve"> Preparation of Security Manuals, SOPs and Protocols</w:t>
      </w:r>
    </w:p>
    <w:p w14:paraId="720C61E6" w14:textId="56301B16" w:rsidR="008445E8" w:rsidRPr="00734790" w:rsidRDefault="003874F3" w:rsidP="00B40A19">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 xml:space="preserve">The Bureau shall, within its regulatory and </w:t>
      </w:r>
      <w:r w:rsidR="00247569">
        <w:rPr>
          <w:rFonts w:ascii="Times New Roman" w:eastAsia="Times New Roman" w:hAnsi="Times New Roman" w:cs="Times New Roman"/>
          <w:sz w:val="24"/>
          <w:szCs w:val="24"/>
        </w:rPr>
        <w:t>oversight</w:t>
      </w:r>
      <w:r w:rsidRPr="00734790">
        <w:rPr>
          <w:rFonts w:ascii="Times New Roman" w:eastAsia="Times New Roman" w:hAnsi="Times New Roman" w:cs="Times New Roman"/>
          <w:sz w:val="24"/>
          <w:szCs w:val="24"/>
        </w:rPr>
        <w:t xml:space="preserve"> mandate, prepare, maintain, and update security manuals, standard operating procedures (SOPs), and operational protocols for port facilities, without </w:t>
      </w:r>
      <w:r w:rsidR="00DD029E">
        <w:rPr>
          <w:rFonts w:ascii="Times New Roman" w:eastAsia="Times New Roman" w:hAnsi="Times New Roman" w:cs="Times New Roman"/>
          <w:sz w:val="24"/>
          <w:szCs w:val="24"/>
        </w:rPr>
        <w:t xml:space="preserve">overlap of </w:t>
      </w:r>
      <w:r w:rsidRPr="00734790">
        <w:rPr>
          <w:rFonts w:ascii="Times New Roman" w:eastAsia="Times New Roman" w:hAnsi="Times New Roman" w:cs="Times New Roman"/>
          <w:sz w:val="24"/>
          <w:szCs w:val="24"/>
        </w:rPr>
        <w:t>any shipboard security duties or ISPS Code functions assigned under Section 129 of the Act.</w:t>
      </w:r>
    </w:p>
    <w:p w14:paraId="6014AD57" w14:textId="77777777" w:rsidR="008445E8" w:rsidRPr="00734790" w:rsidRDefault="008445E8" w:rsidP="00B40A19">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Without prejudice to the generality of the foregoing, the Bureau shall—</w:t>
      </w:r>
    </w:p>
    <w:p w14:paraId="144AC07E" w14:textId="77777777" w:rsidR="008445E8" w:rsidRPr="00734790" w:rsidRDefault="008445E8"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 xml:space="preserve">(a) develop port-specific security manuals and SOPs covering access control, surveillance, screening, patrolling, and emergency response within port </w:t>
      </w:r>
      <w:r w:rsidR="00181E9B" w:rsidRPr="00734790">
        <w:rPr>
          <w:rFonts w:ascii="Times New Roman" w:eastAsia="Times New Roman" w:hAnsi="Times New Roman" w:cs="Times New Roman"/>
          <w:sz w:val="24"/>
          <w:szCs w:val="24"/>
        </w:rPr>
        <w:t>facilities</w:t>
      </w:r>
      <w:r w:rsidRPr="00734790">
        <w:rPr>
          <w:rFonts w:ascii="Times New Roman" w:eastAsia="Times New Roman" w:hAnsi="Times New Roman" w:cs="Times New Roman"/>
          <w:sz w:val="24"/>
          <w:szCs w:val="24"/>
        </w:rPr>
        <w:t>;</w:t>
      </w:r>
    </w:p>
    <w:p w14:paraId="12C76C1B" w14:textId="77777777" w:rsidR="008445E8" w:rsidRPr="00734790" w:rsidRDefault="008445E8"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(b) issue protocols for coordination, reporting, and communication among port authorities, Port Facility Security Officers (PFSOs), Maritime Law Enforcement Agencies (MLEAs), and other relevant stakeholders;</w:t>
      </w:r>
    </w:p>
    <w:p w14:paraId="078B027B" w14:textId="77777777" w:rsidR="008445E8" w:rsidRPr="00734790" w:rsidRDefault="008445E8"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(c) establish procedures for port-facility audits, drills, exercises, and incident-reporting to ensure operational readiness of port-facility security systems;</w:t>
      </w:r>
    </w:p>
    <w:p w14:paraId="7AEAE4C6" w14:textId="77777777" w:rsidR="008445E8" w:rsidRPr="00734790" w:rsidRDefault="008445E8"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(d) maintain records of all manuals, SOPs, and protocols for periodic review and updating.</w:t>
      </w:r>
    </w:p>
    <w:p w14:paraId="205773B2" w14:textId="77777777" w:rsidR="008445E8" w:rsidRPr="00734790" w:rsidRDefault="008445E8" w:rsidP="00B40A19">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All manuals, SOPs, and protocols prepared by the Bureau shall—</w:t>
      </w:r>
    </w:p>
    <w:p w14:paraId="55FE3F91" w14:textId="77777777" w:rsidR="008445E8" w:rsidRPr="00734790" w:rsidRDefault="008445E8"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(a) be consistent with the Act and aligned with national maritime-security objectives;</w:t>
      </w:r>
    </w:p>
    <w:p w14:paraId="15D97798" w14:textId="77777777" w:rsidR="008445E8" w:rsidRPr="00734790" w:rsidRDefault="008445E8"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(b) be disseminated to concerned authorities and stakeholders for implementation;</w:t>
      </w:r>
    </w:p>
    <w:p w14:paraId="52CDB47F" w14:textId="77777777" w:rsidR="008445E8" w:rsidRPr="00734790" w:rsidRDefault="008445E8" w:rsidP="00B40A19">
      <w:pPr>
        <w:spacing w:before="100" w:beforeAutospacing="1" w:after="100" w:afterAutospacing="1" w:line="360" w:lineRule="auto"/>
        <w:ind w:left="720"/>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(c) serve as guidance for risk mitigation, incident management, and operational security.</w:t>
      </w:r>
    </w:p>
    <w:p w14:paraId="38924168" w14:textId="77777777" w:rsidR="008445E8" w:rsidRPr="00734790" w:rsidRDefault="008445E8" w:rsidP="00B40A19">
      <w:pPr>
        <w:pStyle w:val="ListParagraph"/>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The Bureau may review and revise manuals, SOPs, and protocols periodically, or in response to emerging threats, technological developments, or lessons learned from audits and exercises.</w:t>
      </w:r>
    </w:p>
    <w:p w14:paraId="5DE40161" w14:textId="77777777" w:rsidR="001D3A0F" w:rsidRPr="00734790" w:rsidRDefault="00FA6054" w:rsidP="00B40A19">
      <w:pPr>
        <w:pStyle w:val="NormalWeb"/>
        <w:spacing w:line="360" w:lineRule="auto"/>
        <w:jc w:val="both"/>
      </w:pPr>
      <w:r w:rsidRPr="00734790">
        <w:rPr>
          <w:rStyle w:val="Strong"/>
        </w:rPr>
        <w:t>12.</w:t>
      </w:r>
      <w:r w:rsidR="001D3A0F" w:rsidRPr="00734790">
        <w:rPr>
          <w:rStyle w:val="Strong"/>
        </w:rPr>
        <w:t xml:space="preserve"> Audit, Review and Reporting Procedures</w:t>
      </w:r>
    </w:p>
    <w:p w14:paraId="0F15D4D6" w14:textId="77777777" w:rsidR="00F279C8" w:rsidRPr="00734790" w:rsidRDefault="006656CF" w:rsidP="00B40A19">
      <w:pPr>
        <w:pStyle w:val="NormalWeb"/>
        <w:numPr>
          <w:ilvl w:val="0"/>
          <w:numId w:val="17"/>
        </w:numPr>
        <w:spacing w:line="360" w:lineRule="auto"/>
        <w:jc w:val="both"/>
      </w:pPr>
      <w:r w:rsidRPr="00734790">
        <w:t>The Bureau shall establish and maintain audit and review mechanisms to monitor the implementation of port-facility security measures within its mandate under the Act.</w:t>
      </w:r>
      <w:r w:rsidRPr="00734790">
        <w:br/>
        <w:t>Without prejudice to t</w:t>
      </w:r>
      <w:r w:rsidR="00F279C8" w:rsidRPr="00734790">
        <w:t>he foregoing, the Bureau shall—</w:t>
      </w:r>
    </w:p>
    <w:p w14:paraId="5392CD1D" w14:textId="77777777" w:rsidR="00F279C8" w:rsidRPr="00734790" w:rsidRDefault="006656CF" w:rsidP="00B40A19">
      <w:pPr>
        <w:pStyle w:val="NormalWeb"/>
        <w:spacing w:line="360" w:lineRule="auto"/>
        <w:ind w:left="720"/>
        <w:jc w:val="both"/>
      </w:pPr>
      <w:r w:rsidRPr="00734790">
        <w:t>(a) conduct periodic audits and inspections to verify compliance with security standards, SOPs, and d</w:t>
      </w:r>
      <w:r w:rsidR="00F279C8" w:rsidRPr="00734790">
        <w:t>irectives issued by the Bureau;</w:t>
      </w:r>
    </w:p>
    <w:p w14:paraId="41D3B44A" w14:textId="77777777" w:rsidR="005455AD" w:rsidRPr="00734790" w:rsidRDefault="005455AD" w:rsidP="00B40A19">
      <w:pPr>
        <w:pStyle w:val="NormalWeb"/>
        <w:spacing w:line="360" w:lineRule="auto"/>
        <w:ind w:left="720"/>
        <w:jc w:val="both"/>
      </w:pPr>
      <w:r w:rsidRPr="00734790">
        <w:t>Explanation.—</w:t>
      </w:r>
      <w:r w:rsidR="00DE12EB">
        <w:t xml:space="preserve"> </w:t>
      </w:r>
      <w:r w:rsidRPr="00734790">
        <w:t>For the purposes of this sub-rule, “periodic audits” means audits conducted at intervals specified by the Bureau through orders or standard operating procedures approved by the Central Government.</w:t>
      </w:r>
    </w:p>
    <w:p w14:paraId="71B86428" w14:textId="77777777" w:rsidR="00F279C8" w:rsidRPr="00734790" w:rsidRDefault="006656CF" w:rsidP="00B40A19">
      <w:pPr>
        <w:pStyle w:val="NormalWeb"/>
        <w:spacing w:line="360" w:lineRule="auto"/>
        <w:ind w:left="720"/>
        <w:jc w:val="both"/>
      </w:pPr>
      <w:r w:rsidRPr="00734790">
        <w:t>(b) review security plans, operational procedures, and incident reports submitted by Port Authorities and P</w:t>
      </w:r>
      <w:r w:rsidR="00F279C8" w:rsidRPr="00734790">
        <w:t>ort Facility Security Officers;</w:t>
      </w:r>
    </w:p>
    <w:p w14:paraId="49E7343D" w14:textId="77777777" w:rsidR="00F279C8" w:rsidRPr="00734790" w:rsidRDefault="006656CF" w:rsidP="00B40A19">
      <w:pPr>
        <w:pStyle w:val="NormalWeb"/>
        <w:spacing w:line="360" w:lineRule="auto"/>
        <w:ind w:left="720"/>
        <w:jc w:val="both"/>
      </w:pPr>
      <w:r w:rsidRPr="00734790">
        <w:t>(c) assess the effectiveness of implemented security measures and identify ne</w:t>
      </w:r>
      <w:r w:rsidR="00F279C8" w:rsidRPr="00734790">
        <w:t>cessary corrective actions; and</w:t>
      </w:r>
    </w:p>
    <w:p w14:paraId="45CBDC9B" w14:textId="77777777" w:rsidR="0010659E" w:rsidRPr="00734790" w:rsidRDefault="006656CF" w:rsidP="00B40A19">
      <w:pPr>
        <w:pStyle w:val="NormalWeb"/>
        <w:spacing w:line="360" w:lineRule="auto"/>
        <w:ind w:left="720"/>
        <w:jc w:val="both"/>
      </w:pPr>
      <w:r w:rsidRPr="00734790">
        <w:t>(d) maintain records of all audits, reviews, findings, and recommendations for official reporting and follow-up.</w:t>
      </w:r>
    </w:p>
    <w:p w14:paraId="38DAF4FC" w14:textId="77777777" w:rsidR="00F279C8" w:rsidRPr="00734790" w:rsidRDefault="006656CF" w:rsidP="00B40A19">
      <w:pPr>
        <w:pStyle w:val="NormalWeb"/>
        <w:numPr>
          <w:ilvl w:val="0"/>
          <w:numId w:val="17"/>
        </w:numPr>
        <w:spacing w:line="360" w:lineRule="auto"/>
        <w:jc w:val="both"/>
      </w:pPr>
      <w:r w:rsidRPr="00734790">
        <w:t>The Bureau shall establish reporting procedures to ensure timely submission of audit findings, asses</w:t>
      </w:r>
      <w:r w:rsidR="00F279C8" w:rsidRPr="00734790">
        <w:t>sments, and recommendations to—</w:t>
      </w:r>
    </w:p>
    <w:p w14:paraId="42F536BF" w14:textId="77777777" w:rsidR="00F279C8" w:rsidRPr="00734790" w:rsidRDefault="006656CF" w:rsidP="00B40A19">
      <w:pPr>
        <w:pStyle w:val="NormalWeb"/>
        <w:spacing w:line="360" w:lineRule="auto"/>
        <w:ind w:left="720"/>
        <w:jc w:val="both"/>
      </w:pPr>
      <w:r w:rsidRPr="00734790">
        <w:t>(a) the Ministry of</w:t>
      </w:r>
      <w:r w:rsidR="00F279C8" w:rsidRPr="00734790">
        <w:t xml:space="preserve"> Ports, Shipping and Waterways;</w:t>
      </w:r>
    </w:p>
    <w:p w14:paraId="54421700" w14:textId="77777777" w:rsidR="00F279C8" w:rsidRPr="00734790" w:rsidRDefault="006656CF" w:rsidP="00B40A19">
      <w:pPr>
        <w:pStyle w:val="NormalWeb"/>
        <w:spacing w:line="360" w:lineRule="auto"/>
        <w:ind w:left="720"/>
        <w:jc w:val="both"/>
      </w:pPr>
      <w:r w:rsidRPr="00734790">
        <w:t xml:space="preserve">(b) the Director General </w:t>
      </w:r>
      <w:r w:rsidR="00F279C8" w:rsidRPr="00734790">
        <w:t>of Maritime Administration; and</w:t>
      </w:r>
    </w:p>
    <w:p w14:paraId="06793E22" w14:textId="77777777" w:rsidR="006656CF" w:rsidRPr="00734790" w:rsidRDefault="006656CF" w:rsidP="00B40A19">
      <w:pPr>
        <w:pStyle w:val="NormalWeb"/>
        <w:spacing w:line="360" w:lineRule="auto"/>
        <w:ind w:left="720"/>
        <w:jc w:val="both"/>
      </w:pPr>
      <w:r w:rsidRPr="00734790">
        <w:t>(c) Maritime Law Enforcement Agencies (MLEAs), where necessary for port-facility security coordination.</w:t>
      </w:r>
    </w:p>
    <w:p w14:paraId="74515DBD" w14:textId="7C539041" w:rsidR="00963D49" w:rsidRDefault="006656CF" w:rsidP="00B40A19">
      <w:pPr>
        <w:pStyle w:val="NormalWeb"/>
        <w:numPr>
          <w:ilvl w:val="0"/>
          <w:numId w:val="17"/>
        </w:numPr>
        <w:spacing w:line="360" w:lineRule="auto"/>
        <w:jc w:val="both"/>
      </w:pPr>
      <w:r w:rsidRPr="00734790">
        <w:t>The Bureau shall coordinate with Port Authorities, Port Facility Security Officers,</w:t>
      </w:r>
      <w:r w:rsidR="00E77F07">
        <w:t xml:space="preserve"> </w:t>
      </w:r>
      <w:r w:rsidR="00E77F07" w:rsidRPr="00DD029E">
        <w:t>Director General of Maritime Administration</w:t>
      </w:r>
      <w:r w:rsidRPr="00734790">
        <w:t xml:space="preserve"> and Maritime Law Enforcement Agencies during audits and reviews.</w:t>
      </w:r>
    </w:p>
    <w:p w14:paraId="70860F1F" w14:textId="77777777" w:rsidR="00F279C8" w:rsidRPr="00734790" w:rsidRDefault="006656CF" w:rsidP="00B40A19">
      <w:pPr>
        <w:pStyle w:val="NormalWeb"/>
        <w:numPr>
          <w:ilvl w:val="0"/>
          <w:numId w:val="17"/>
        </w:numPr>
        <w:spacing w:line="360" w:lineRule="auto"/>
        <w:jc w:val="both"/>
      </w:pPr>
      <w:r w:rsidRPr="00734790">
        <w:t>Audit findings, reviews, and re</w:t>
      </w:r>
      <w:r w:rsidR="00F279C8" w:rsidRPr="00734790">
        <w:t>commendations shall be used to—</w:t>
      </w:r>
    </w:p>
    <w:p w14:paraId="61FF1504" w14:textId="77777777" w:rsidR="00F279C8" w:rsidRPr="00734790" w:rsidRDefault="006656CF" w:rsidP="00B40A19">
      <w:pPr>
        <w:pStyle w:val="NormalWeb"/>
        <w:spacing w:line="360" w:lineRule="auto"/>
        <w:ind w:left="720"/>
        <w:jc w:val="both"/>
      </w:pPr>
      <w:r w:rsidRPr="00734790">
        <w:t>(a) inform updates to risk assessment</w:t>
      </w:r>
      <w:r w:rsidR="00F279C8" w:rsidRPr="00734790">
        <w:t>s and operational improvements;</w:t>
      </w:r>
    </w:p>
    <w:p w14:paraId="11D624EE" w14:textId="77777777" w:rsidR="00F279C8" w:rsidRPr="00734790" w:rsidRDefault="006656CF" w:rsidP="00B40A19">
      <w:pPr>
        <w:pStyle w:val="NormalWeb"/>
        <w:spacing w:line="360" w:lineRule="auto"/>
        <w:ind w:left="720"/>
        <w:jc w:val="both"/>
      </w:pPr>
      <w:r w:rsidRPr="00734790">
        <w:t>(b) guide training, capacity-building, and preparedness initiatives</w:t>
      </w:r>
      <w:r w:rsidR="00F279C8" w:rsidRPr="00734790">
        <w:t>; and</w:t>
      </w:r>
    </w:p>
    <w:p w14:paraId="5F537635" w14:textId="77777777" w:rsidR="001D3A0F" w:rsidRPr="00734790" w:rsidRDefault="006656CF" w:rsidP="00B40A19">
      <w:pPr>
        <w:pStyle w:val="NormalWeb"/>
        <w:spacing w:line="360" w:lineRule="auto"/>
        <w:ind w:left="720"/>
        <w:jc w:val="both"/>
      </w:pPr>
      <w:r w:rsidRPr="00734790">
        <w:t>(c) support issuance of directions under Rule 13 to address identified security gaps.</w:t>
      </w:r>
    </w:p>
    <w:p w14:paraId="1FEAAE7D" w14:textId="77777777" w:rsidR="001D3A0F" w:rsidRPr="00734790" w:rsidRDefault="007752F5" w:rsidP="00B40A19">
      <w:pPr>
        <w:pStyle w:val="NormalWeb"/>
        <w:spacing w:line="360" w:lineRule="auto"/>
        <w:jc w:val="both"/>
      </w:pPr>
      <w:r w:rsidRPr="00734790">
        <w:rPr>
          <w:rStyle w:val="Strong"/>
        </w:rPr>
        <w:t>13</w:t>
      </w:r>
      <w:r w:rsidR="00FA6054" w:rsidRPr="00734790">
        <w:rPr>
          <w:rStyle w:val="Strong"/>
        </w:rPr>
        <w:t>.</w:t>
      </w:r>
      <w:r w:rsidR="001D3A0F" w:rsidRPr="00734790">
        <w:rPr>
          <w:rStyle w:val="Strong"/>
        </w:rPr>
        <w:t xml:space="preserve"> Security Levels and Response Mechanisms</w:t>
      </w:r>
    </w:p>
    <w:p w14:paraId="0934C615" w14:textId="77777777" w:rsidR="00F279C8" w:rsidRPr="00734790" w:rsidRDefault="006656CF" w:rsidP="00B40A19">
      <w:pPr>
        <w:pStyle w:val="NormalWeb"/>
        <w:numPr>
          <w:ilvl w:val="0"/>
          <w:numId w:val="16"/>
        </w:numPr>
        <w:spacing w:line="360" w:lineRule="auto"/>
        <w:jc w:val="both"/>
      </w:pPr>
      <w:r w:rsidRPr="00734790">
        <w:t>The Bureau shall establish and maintain response mechanisms corresponding to security levels declared by the Central Government or the person authorised under Section 129 of the Act, in respect of port facilities and port-s</w:t>
      </w:r>
      <w:r w:rsidR="00F279C8" w:rsidRPr="00734790">
        <w:t xml:space="preserve">ide areas within its oversight. </w:t>
      </w:r>
      <w:r w:rsidRPr="00734790">
        <w:t>For this pur</w:t>
      </w:r>
      <w:r w:rsidR="00F279C8" w:rsidRPr="00734790">
        <w:t>pose, the Bureau shall—</w:t>
      </w:r>
    </w:p>
    <w:p w14:paraId="489FD0D8" w14:textId="77777777" w:rsidR="00F279C8" w:rsidRPr="00734790" w:rsidRDefault="006656CF" w:rsidP="00B40A19">
      <w:pPr>
        <w:pStyle w:val="NormalWeb"/>
        <w:spacing w:line="360" w:lineRule="auto"/>
        <w:ind w:left="720"/>
        <w:jc w:val="both"/>
      </w:pPr>
      <w:r w:rsidRPr="00734790">
        <w:t>(a) specify port-facility response measures appropriate to each declared security level, based on threat assessment</w:t>
      </w:r>
      <w:r w:rsidR="00F279C8" w:rsidRPr="00734790">
        <w:t>s and operational requirements;</w:t>
      </w:r>
    </w:p>
    <w:p w14:paraId="361BD7AB" w14:textId="77777777" w:rsidR="00F279C8" w:rsidRPr="00734790" w:rsidRDefault="006656CF" w:rsidP="00B40A19">
      <w:pPr>
        <w:pStyle w:val="NormalWeb"/>
        <w:spacing w:line="360" w:lineRule="auto"/>
        <w:ind w:left="720"/>
        <w:jc w:val="both"/>
      </w:pPr>
      <w:r w:rsidRPr="00734790">
        <w:t>(b) prescribe procedures for escalating or de-escalating port-side security responses upon receipt of intelligence inputs, d</w:t>
      </w:r>
      <w:r w:rsidR="00F279C8" w:rsidRPr="00734790">
        <w:t>irectives, or incident reports;</w:t>
      </w:r>
    </w:p>
    <w:p w14:paraId="652D95DB" w14:textId="3DF9D9CA" w:rsidR="00F279C8" w:rsidRDefault="006656CF" w:rsidP="00B40A19">
      <w:pPr>
        <w:pStyle w:val="NormalWeb"/>
        <w:spacing w:line="360" w:lineRule="auto"/>
        <w:ind w:left="720"/>
        <w:jc w:val="both"/>
      </w:pPr>
      <w:r w:rsidRPr="00734790">
        <w:t xml:space="preserve">(c) coordinate with Port Authorities, Port Facility Security Officers (PFSOs), </w:t>
      </w:r>
      <w:r w:rsidR="00E77F07" w:rsidRPr="00DD029E">
        <w:t>Director General of Maritime Administration</w:t>
      </w:r>
      <w:r w:rsidR="00E77F07" w:rsidRPr="00734790">
        <w:t xml:space="preserve"> </w:t>
      </w:r>
      <w:r w:rsidRPr="00734790">
        <w:t>and Maritime Law Enforcement Agencies (MLEAs) for the implement</w:t>
      </w:r>
      <w:r w:rsidR="00F279C8" w:rsidRPr="00734790">
        <w:t>ation of response measures; and</w:t>
      </w:r>
    </w:p>
    <w:p w14:paraId="20DAF17D" w14:textId="03AB5F20" w:rsidR="0010659E" w:rsidRPr="00734790" w:rsidRDefault="006656CF" w:rsidP="00B40A19">
      <w:pPr>
        <w:pStyle w:val="NormalWeb"/>
        <w:spacing w:line="360" w:lineRule="auto"/>
        <w:ind w:left="720"/>
        <w:jc w:val="both"/>
      </w:pPr>
      <w:r w:rsidRPr="00734790">
        <w:t>(d) monitor the effectiveness of the response measures and provide guidance for required improvements.</w:t>
      </w:r>
    </w:p>
    <w:p w14:paraId="0A6F16B7" w14:textId="77777777" w:rsidR="0010659E" w:rsidRPr="00734790" w:rsidRDefault="006656CF" w:rsidP="00B40A19">
      <w:pPr>
        <w:pStyle w:val="NormalWeb"/>
        <w:numPr>
          <w:ilvl w:val="0"/>
          <w:numId w:val="16"/>
        </w:numPr>
        <w:spacing w:line="360" w:lineRule="auto"/>
        <w:jc w:val="both"/>
      </w:pPr>
      <w:r w:rsidRPr="00734790">
        <w:t>The Bureau may conduct exercises, drills, and simulations to assess preparedness and response capabilities of port facilities, provided that such activities do not interfere with or supersede requirements under the SPFS Rules or ISPS Code.</w:t>
      </w:r>
    </w:p>
    <w:p w14:paraId="62C716D6" w14:textId="77777777" w:rsidR="006656CF" w:rsidRPr="00734790" w:rsidRDefault="006656CF" w:rsidP="00B40A19">
      <w:pPr>
        <w:pStyle w:val="NormalWeb"/>
        <w:numPr>
          <w:ilvl w:val="0"/>
          <w:numId w:val="16"/>
        </w:numPr>
        <w:spacing w:line="360" w:lineRule="auto"/>
        <w:jc w:val="both"/>
      </w:pPr>
      <w:r w:rsidRPr="00734790">
        <w:t>The Bureau shall maintain records of declared security levels (as notified under Section 129), corresponding response actions taken at port facilities, and lessons learned, which shall inform future audits, risk assessments, and operational directives.</w:t>
      </w:r>
    </w:p>
    <w:p w14:paraId="0AC3FDF7" w14:textId="77777777" w:rsidR="00B769A4" w:rsidRPr="00734790" w:rsidRDefault="005F5F73" w:rsidP="00F279C8">
      <w:pPr>
        <w:pStyle w:val="NormalWeb"/>
        <w:spacing w:line="360" w:lineRule="auto"/>
        <w:jc w:val="center"/>
        <w:rPr>
          <w:rStyle w:val="Strong"/>
          <w:b w:val="0"/>
          <w:bCs w:val="0"/>
        </w:rPr>
      </w:pPr>
      <w:r w:rsidRPr="00734790">
        <w:rPr>
          <w:b/>
          <w:bCs/>
        </w:rPr>
        <w:t>CHAPTER V</w:t>
      </w:r>
      <w:r w:rsidRPr="00734790">
        <w:rPr>
          <w:b/>
          <w:bCs/>
        </w:rPr>
        <w:br/>
      </w:r>
      <w:r w:rsidR="00B769A4" w:rsidRPr="00734790">
        <w:rPr>
          <w:b/>
          <w:bCs/>
        </w:rPr>
        <w:t>DELINEATION OF JURISDICTION AND COMMITTEES</w:t>
      </w:r>
    </w:p>
    <w:p w14:paraId="1BF2A7A0" w14:textId="77777777" w:rsidR="00326255" w:rsidRPr="00734790" w:rsidRDefault="007752F5" w:rsidP="00F279C8">
      <w:pPr>
        <w:pStyle w:val="NormalWeb"/>
        <w:spacing w:line="360" w:lineRule="auto"/>
        <w:jc w:val="both"/>
      </w:pPr>
      <w:r w:rsidRPr="00734790">
        <w:rPr>
          <w:rStyle w:val="Strong"/>
        </w:rPr>
        <w:t>14</w:t>
      </w:r>
      <w:r w:rsidR="00FA6054" w:rsidRPr="00734790">
        <w:rPr>
          <w:rStyle w:val="Strong"/>
        </w:rPr>
        <w:t>.</w:t>
      </w:r>
      <w:r w:rsidR="00EC3B4F" w:rsidRPr="00734790">
        <w:rPr>
          <w:rStyle w:val="Strong"/>
        </w:rPr>
        <w:t xml:space="preserve"> </w:t>
      </w:r>
      <w:r w:rsidR="00A73D5B" w:rsidRPr="00734790">
        <w:rPr>
          <w:rStyle w:val="Strong"/>
        </w:rPr>
        <w:t>Delineation of J</w:t>
      </w:r>
      <w:r w:rsidR="0097513A" w:rsidRPr="00734790">
        <w:rPr>
          <w:rStyle w:val="Strong"/>
        </w:rPr>
        <w:t xml:space="preserve">urisdiction </w:t>
      </w:r>
    </w:p>
    <w:p w14:paraId="4715761F" w14:textId="77777777" w:rsidR="009E6BFE" w:rsidRPr="00734790" w:rsidRDefault="009E6BFE" w:rsidP="008F48ED">
      <w:pPr>
        <w:pStyle w:val="NormalWeb"/>
        <w:numPr>
          <w:ilvl w:val="0"/>
          <w:numId w:val="15"/>
        </w:numPr>
        <w:spacing w:line="360" w:lineRule="auto"/>
        <w:jc w:val="both"/>
      </w:pPr>
      <w:r w:rsidRPr="00734790">
        <w:t>Nothing in these Rules shall be construed to dilute or override the obligations arising under the International Convention for the Safety of Life at Sea, 1974 and the ISPS Code, as implemented through the rules made under Section 130 of the Act.</w:t>
      </w:r>
    </w:p>
    <w:p w14:paraId="1D616AAA" w14:textId="77777777" w:rsidR="009E6BFE" w:rsidRPr="00734790" w:rsidRDefault="009A62E9" w:rsidP="008F48ED">
      <w:pPr>
        <w:pStyle w:val="NormalWeb"/>
        <w:numPr>
          <w:ilvl w:val="0"/>
          <w:numId w:val="15"/>
        </w:numPr>
        <w:spacing w:line="360" w:lineRule="auto"/>
        <w:jc w:val="both"/>
      </w:pPr>
      <w:r w:rsidRPr="00734790">
        <w:t>The Bureau established under Section 13 shall exercise regulatory, coordination, and oversight functions in relation to port facility security, consistent with Section 13 of the Act.</w:t>
      </w:r>
      <w:r w:rsidR="00282B61" w:rsidRPr="00734790">
        <w:t xml:space="preserve"> </w:t>
      </w:r>
    </w:p>
    <w:p w14:paraId="3D45C8B6" w14:textId="77777777" w:rsidR="009E6BFE" w:rsidRPr="00734790" w:rsidRDefault="00282B61" w:rsidP="008F48ED">
      <w:pPr>
        <w:pStyle w:val="NormalWeb"/>
        <w:numPr>
          <w:ilvl w:val="0"/>
          <w:numId w:val="15"/>
        </w:numPr>
        <w:spacing w:line="360" w:lineRule="auto"/>
        <w:jc w:val="both"/>
      </w:pPr>
      <w:r w:rsidRPr="00734790">
        <w:t>The Bureau shall perform its functions in a manner that supports and facilitates national ISPS compliance, without duplicating, substituting or interfering with any statutory, technical, certification or approval functions exercised under rules made pursuant to Section 130 of the Act.</w:t>
      </w:r>
    </w:p>
    <w:p w14:paraId="3931B680" w14:textId="3371F9E2" w:rsidR="00AF640F" w:rsidRPr="00DD029E" w:rsidRDefault="009E6BFE" w:rsidP="008F48ED">
      <w:pPr>
        <w:pStyle w:val="NormalWeb"/>
        <w:numPr>
          <w:ilvl w:val="0"/>
          <w:numId w:val="15"/>
        </w:numPr>
        <w:spacing w:line="360" w:lineRule="auto"/>
        <w:jc w:val="both"/>
      </w:pPr>
      <w:r w:rsidRPr="00734790">
        <w:t>Shipboard security functions, including ship-specific ISPS compliance, certification, and company-level responsibilities, shall continue to be performed in accordance with the rules issued under Section 130</w:t>
      </w:r>
      <w:r w:rsidR="00E77F07">
        <w:t xml:space="preserve"> </w:t>
      </w:r>
      <w:r w:rsidR="00E77F07" w:rsidRPr="00DD029E">
        <w:t>of the Act</w:t>
      </w:r>
      <w:r w:rsidRPr="00DD029E">
        <w:t>.</w:t>
      </w:r>
    </w:p>
    <w:p w14:paraId="433311CF" w14:textId="77777777" w:rsidR="0097513A" w:rsidRPr="00734790" w:rsidRDefault="007752F5" w:rsidP="00F279C8">
      <w:pPr>
        <w:pStyle w:val="NormalWeb"/>
        <w:spacing w:line="360" w:lineRule="auto"/>
        <w:jc w:val="both"/>
        <w:rPr>
          <w:b/>
          <w:bCs/>
        </w:rPr>
      </w:pPr>
      <w:r w:rsidRPr="00734790">
        <w:rPr>
          <w:b/>
          <w:bCs/>
        </w:rPr>
        <w:t>15</w:t>
      </w:r>
      <w:r w:rsidR="00FA6054" w:rsidRPr="00734790">
        <w:rPr>
          <w:b/>
          <w:bCs/>
        </w:rPr>
        <w:t>.</w:t>
      </w:r>
      <w:r w:rsidR="0097513A" w:rsidRPr="00734790">
        <w:rPr>
          <w:b/>
          <w:bCs/>
        </w:rPr>
        <w:t xml:space="preserve"> Committee and Sub-committees </w:t>
      </w:r>
    </w:p>
    <w:p w14:paraId="193F0CB7" w14:textId="77777777" w:rsidR="00934855" w:rsidRDefault="00934855" w:rsidP="004011B1">
      <w:pPr>
        <w:pStyle w:val="NormalWeb"/>
        <w:numPr>
          <w:ilvl w:val="0"/>
          <w:numId w:val="14"/>
        </w:numPr>
        <w:spacing w:line="360" w:lineRule="auto"/>
        <w:jc w:val="both"/>
      </w:pPr>
      <w:r>
        <w:t>The Bureau may constitute committees or sub-committees to advise or assist the Bureau in the discharge of its functions under Section 13 of the Act.</w:t>
      </w:r>
    </w:p>
    <w:p w14:paraId="22D78C25" w14:textId="77777777" w:rsidR="00934855" w:rsidRDefault="00934855" w:rsidP="004011B1">
      <w:pPr>
        <w:pStyle w:val="NormalWeb"/>
        <w:numPr>
          <w:ilvl w:val="0"/>
          <w:numId w:val="14"/>
        </w:numPr>
        <w:spacing w:line="360" w:lineRule="auto"/>
        <w:jc w:val="both"/>
      </w:pPr>
      <w:r>
        <w:t>The Bureau may determine the composition, functions, tenure, and procedures of such committees or sub-committees through internal administrative orders.</w:t>
      </w:r>
    </w:p>
    <w:p w14:paraId="42281BBE" w14:textId="77777777" w:rsidR="0097513A" w:rsidRPr="00734790" w:rsidRDefault="00934855" w:rsidP="004011B1">
      <w:pPr>
        <w:pStyle w:val="NormalWeb"/>
        <w:numPr>
          <w:ilvl w:val="0"/>
          <w:numId w:val="14"/>
        </w:numPr>
        <w:spacing w:line="360" w:lineRule="auto"/>
        <w:jc w:val="both"/>
      </w:pPr>
      <w:r>
        <w:t>All committees and sub-committees constituted under this Rule shall report to the Bureau.</w:t>
      </w:r>
    </w:p>
    <w:p w14:paraId="17BD19A0" w14:textId="77777777" w:rsidR="001D3A0F" w:rsidRPr="00734790" w:rsidRDefault="005F5F73" w:rsidP="00F279C8">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734790">
        <w:rPr>
          <w:rFonts w:ascii="Times New Roman" w:eastAsia="Times New Roman" w:hAnsi="Times New Roman" w:cs="Times New Roman"/>
          <w:b/>
          <w:bCs/>
          <w:sz w:val="24"/>
          <w:szCs w:val="24"/>
        </w:rPr>
        <w:t>CHAPTER VI</w:t>
      </w:r>
      <w:r w:rsidRPr="00734790">
        <w:rPr>
          <w:rFonts w:ascii="Times New Roman" w:eastAsia="Times New Roman" w:hAnsi="Times New Roman" w:cs="Times New Roman"/>
          <w:b/>
          <w:bCs/>
          <w:sz w:val="24"/>
          <w:szCs w:val="24"/>
        </w:rPr>
        <w:br/>
      </w:r>
      <w:r w:rsidR="001D3A0F" w:rsidRPr="00734790">
        <w:rPr>
          <w:rFonts w:ascii="Times New Roman" w:eastAsia="Times New Roman" w:hAnsi="Times New Roman" w:cs="Times New Roman"/>
          <w:b/>
          <w:bCs/>
          <w:sz w:val="24"/>
          <w:szCs w:val="24"/>
        </w:rPr>
        <w:t>MISCELLANEOUS</w:t>
      </w:r>
    </w:p>
    <w:p w14:paraId="4C8CBB2F" w14:textId="77777777" w:rsidR="009E6BFE" w:rsidRPr="00734790" w:rsidRDefault="009E6BFE" w:rsidP="00F279C8">
      <w:pPr>
        <w:spacing w:line="360" w:lineRule="auto"/>
        <w:jc w:val="both"/>
        <w:rPr>
          <w:rFonts w:ascii="Times New Roman" w:hAnsi="Times New Roman" w:cs="Times New Roman"/>
          <w:sz w:val="24"/>
          <w:szCs w:val="24"/>
        </w:rPr>
      </w:pPr>
      <w:r w:rsidRPr="00734790">
        <w:rPr>
          <w:rStyle w:val="Strong"/>
          <w:rFonts w:ascii="Times New Roman" w:hAnsi="Times New Roman" w:cs="Times New Roman"/>
          <w:sz w:val="24"/>
          <w:szCs w:val="24"/>
        </w:rPr>
        <w:t>16. Directions by the Director-General of Maritime Administration</w:t>
      </w:r>
    </w:p>
    <w:p w14:paraId="4DF5CC6B" w14:textId="5D10ACB1" w:rsidR="009E6BFE" w:rsidRPr="00734790" w:rsidRDefault="009E6BFE" w:rsidP="008F48ED">
      <w:pPr>
        <w:pStyle w:val="NormalWeb"/>
        <w:numPr>
          <w:ilvl w:val="0"/>
          <w:numId w:val="12"/>
        </w:numPr>
        <w:spacing w:line="360" w:lineRule="auto"/>
        <w:jc w:val="both"/>
      </w:pPr>
      <w:r w:rsidRPr="00734790">
        <w:t>The Director-General of Maritime Administration may issue such directions to the Bureau as he or she considers necessary for the efficient discharge of its functions under the Act and these rules.</w:t>
      </w:r>
    </w:p>
    <w:p w14:paraId="69B0169C" w14:textId="77777777" w:rsidR="009E6BFE" w:rsidRPr="00734790" w:rsidRDefault="009E6BFE" w:rsidP="008F48ED">
      <w:pPr>
        <w:pStyle w:val="NormalWeb"/>
        <w:numPr>
          <w:ilvl w:val="0"/>
          <w:numId w:val="12"/>
        </w:numPr>
        <w:spacing w:line="360" w:lineRule="auto"/>
        <w:jc w:val="both"/>
      </w:pPr>
      <w:r w:rsidRPr="00734790">
        <w:t>The Bureau shall comply with all directions issued by the Director-General under sub-rule (1).</w:t>
      </w:r>
    </w:p>
    <w:p w14:paraId="23605489" w14:textId="77777777" w:rsidR="00F279C8" w:rsidRPr="00734790" w:rsidRDefault="007752F5" w:rsidP="00F279C8">
      <w:pPr>
        <w:pStyle w:val="NormalWeb"/>
        <w:spacing w:line="360" w:lineRule="auto"/>
        <w:jc w:val="both"/>
        <w:rPr>
          <w:b/>
          <w:bCs/>
        </w:rPr>
      </w:pPr>
      <w:r w:rsidRPr="00734790">
        <w:rPr>
          <w:rStyle w:val="Strong"/>
        </w:rPr>
        <w:t>17</w:t>
      </w:r>
      <w:r w:rsidR="00FA6054" w:rsidRPr="00734790">
        <w:rPr>
          <w:rStyle w:val="Strong"/>
        </w:rPr>
        <w:t>.</w:t>
      </w:r>
      <w:r w:rsidR="003A4F24" w:rsidRPr="00734790">
        <w:rPr>
          <w:rStyle w:val="Strong"/>
        </w:rPr>
        <w:t xml:space="preserve"> Savings and Transitional Provisions</w:t>
      </w:r>
    </w:p>
    <w:p w14:paraId="4197DAE5" w14:textId="77777777" w:rsidR="00F279C8" w:rsidRPr="00734790" w:rsidRDefault="00F279C8" w:rsidP="008F48ED">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34790">
        <w:rPr>
          <w:rFonts w:ascii="Times New Roman" w:eastAsia="Times New Roman" w:hAnsi="Times New Roman" w:cs="Times New Roman"/>
          <w:sz w:val="24"/>
          <w:szCs w:val="24"/>
        </w:rPr>
        <w:t>Nothing in these rules shall be construed to limit the powers of the Central Government or any authority exercising statutory functions under the Act.</w:t>
      </w:r>
    </w:p>
    <w:p w14:paraId="79B555D6" w14:textId="77777777" w:rsidR="00652046" w:rsidRPr="00734790" w:rsidRDefault="00F279C8" w:rsidP="00F279C8">
      <w:pPr>
        <w:pStyle w:val="ListParagraph"/>
        <w:numPr>
          <w:ilvl w:val="0"/>
          <w:numId w:val="13"/>
        </w:numPr>
        <w:spacing w:before="100" w:beforeAutospacing="1" w:after="100" w:afterAutospacing="1" w:line="360" w:lineRule="auto"/>
        <w:jc w:val="both"/>
        <w:outlineLvl w:val="1"/>
        <w:rPr>
          <w:rFonts w:ascii="Times New Roman" w:hAnsi="Times New Roman" w:cs="Times New Roman"/>
          <w:sz w:val="24"/>
          <w:szCs w:val="24"/>
        </w:rPr>
      </w:pPr>
      <w:r w:rsidRPr="00734790">
        <w:rPr>
          <w:rFonts w:ascii="Times New Roman" w:eastAsia="Times New Roman" w:hAnsi="Times New Roman" w:cs="Times New Roman"/>
          <w:sz w:val="24"/>
          <w:szCs w:val="24"/>
        </w:rPr>
        <w:t>Any plans, procedures, or measures in force immediately before the commencement of these rules shall continue to operate until modified or superseded in accordance with these rules.</w:t>
      </w:r>
    </w:p>
    <w:sectPr w:rsidR="00652046" w:rsidRPr="00734790" w:rsidSect="007A31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89E8" w14:textId="77777777" w:rsidR="00100A72" w:rsidRDefault="00100A72" w:rsidP="00923C7F">
      <w:pPr>
        <w:spacing w:after="0" w:line="240" w:lineRule="auto"/>
      </w:pPr>
      <w:r>
        <w:separator/>
      </w:r>
    </w:p>
  </w:endnote>
  <w:endnote w:type="continuationSeparator" w:id="0">
    <w:p w14:paraId="25245B3A" w14:textId="77777777" w:rsidR="00100A72" w:rsidRDefault="00100A72" w:rsidP="0092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56B8" w14:textId="77777777" w:rsidR="00100A72" w:rsidRDefault="00100A72" w:rsidP="00923C7F">
      <w:pPr>
        <w:spacing w:after="0" w:line="240" w:lineRule="auto"/>
      </w:pPr>
      <w:r>
        <w:separator/>
      </w:r>
    </w:p>
  </w:footnote>
  <w:footnote w:type="continuationSeparator" w:id="0">
    <w:p w14:paraId="011BA3DE" w14:textId="77777777" w:rsidR="00100A72" w:rsidRDefault="00100A72" w:rsidP="00923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25CC"/>
    <w:multiLevelType w:val="hybridMultilevel"/>
    <w:tmpl w:val="83B07624"/>
    <w:lvl w:ilvl="0" w:tplc="87A8D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1448E"/>
    <w:multiLevelType w:val="hybridMultilevel"/>
    <w:tmpl w:val="A92697EA"/>
    <w:lvl w:ilvl="0" w:tplc="9E0A7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156E4"/>
    <w:multiLevelType w:val="hybridMultilevel"/>
    <w:tmpl w:val="ABAEE686"/>
    <w:lvl w:ilvl="0" w:tplc="E1DC4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44EC9"/>
    <w:multiLevelType w:val="hybridMultilevel"/>
    <w:tmpl w:val="512C8EB4"/>
    <w:lvl w:ilvl="0" w:tplc="E1DC4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B78EE"/>
    <w:multiLevelType w:val="hybridMultilevel"/>
    <w:tmpl w:val="2A2E9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02CE4"/>
    <w:multiLevelType w:val="hybridMultilevel"/>
    <w:tmpl w:val="E3B4FC16"/>
    <w:lvl w:ilvl="0" w:tplc="E224075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841F4"/>
    <w:multiLevelType w:val="hybridMultilevel"/>
    <w:tmpl w:val="430ED186"/>
    <w:lvl w:ilvl="0" w:tplc="B9C06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30B59"/>
    <w:multiLevelType w:val="hybridMultilevel"/>
    <w:tmpl w:val="72406018"/>
    <w:lvl w:ilvl="0" w:tplc="DEE6DB2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F045DA9"/>
    <w:multiLevelType w:val="hybridMultilevel"/>
    <w:tmpl w:val="BCEC2D7A"/>
    <w:lvl w:ilvl="0" w:tplc="DAAA3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359F7"/>
    <w:multiLevelType w:val="hybridMultilevel"/>
    <w:tmpl w:val="7C26526C"/>
    <w:lvl w:ilvl="0" w:tplc="58F2D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65677"/>
    <w:multiLevelType w:val="hybridMultilevel"/>
    <w:tmpl w:val="B56A15CC"/>
    <w:lvl w:ilvl="0" w:tplc="A72CF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735CC"/>
    <w:multiLevelType w:val="hybridMultilevel"/>
    <w:tmpl w:val="01D47904"/>
    <w:lvl w:ilvl="0" w:tplc="E1DC4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E582A"/>
    <w:multiLevelType w:val="hybridMultilevel"/>
    <w:tmpl w:val="331E5C9A"/>
    <w:lvl w:ilvl="0" w:tplc="3654A9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91171"/>
    <w:multiLevelType w:val="hybridMultilevel"/>
    <w:tmpl w:val="9A54F648"/>
    <w:lvl w:ilvl="0" w:tplc="8F22A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905DAF"/>
    <w:multiLevelType w:val="hybridMultilevel"/>
    <w:tmpl w:val="D8B67D0A"/>
    <w:lvl w:ilvl="0" w:tplc="8AAC6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55E7E"/>
    <w:multiLevelType w:val="multilevel"/>
    <w:tmpl w:val="56BE10F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4A3AC9"/>
    <w:multiLevelType w:val="hybridMultilevel"/>
    <w:tmpl w:val="537AEA08"/>
    <w:lvl w:ilvl="0" w:tplc="FE70A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63902"/>
    <w:multiLevelType w:val="multilevel"/>
    <w:tmpl w:val="25BCEA5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F770C7"/>
    <w:multiLevelType w:val="hybridMultilevel"/>
    <w:tmpl w:val="3E083F0C"/>
    <w:lvl w:ilvl="0" w:tplc="39ACF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346678"/>
    <w:multiLevelType w:val="hybridMultilevel"/>
    <w:tmpl w:val="6D2820E0"/>
    <w:lvl w:ilvl="0" w:tplc="E1DC4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C72A6"/>
    <w:multiLevelType w:val="hybridMultilevel"/>
    <w:tmpl w:val="29C8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B515A"/>
    <w:multiLevelType w:val="hybridMultilevel"/>
    <w:tmpl w:val="712E787C"/>
    <w:lvl w:ilvl="0" w:tplc="014630B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8813A8"/>
    <w:multiLevelType w:val="hybridMultilevel"/>
    <w:tmpl w:val="F9DAA704"/>
    <w:lvl w:ilvl="0" w:tplc="89F02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A52B8F"/>
    <w:multiLevelType w:val="hybridMultilevel"/>
    <w:tmpl w:val="AAE81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A0F34"/>
    <w:multiLevelType w:val="multilevel"/>
    <w:tmpl w:val="7C2AF9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644AA7"/>
    <w:multiLevelType w:val="hybridMultilevel"/>
    <w:tmpl w:val="67FA72AE"/>
    <w:lvl w:ilvl="0" w:tplc="353CC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176C1B"/>
    <w:multiLevelType w:val="hybridMultilevel"/>
    <w:tmpl w:val="86585A5A"/>
    <w:lvl w:ilvl="0" w:tplc="CBA298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5"/>
  </w:num>
  <w:num w:numId="3">
    <w:abstractNumId w:val="17"/>
  </w:num>
  <w:num w:numId="4">
    <w:abstractNumId w:val="26"/>
  </w:num>
  <w:num w:numId="5">
    <w:abstractNumId w:val="18"/>
  </w:num>
  <w:num w:numId="6">
    <w:abstractNumId w:val="8"/>
  </w:num>
  <w:num w:numId="7">
    <w:abstractNumId w:val="0"/>
  </w:num>
  <w:num w:numId="8">
    <w:abstractNumId w:val="22"/>
  </w:num>
  <w:num w:numId="9">
    <w:abstractNumId w:val="25"/>
  </w:num>
  <w:num w:numId="10">
    <w:abstractNumId w:val="1"/>
  </w:num>
  <w:num w:numId="11">
    <w:abstractNumId w:val="14"/>
  </w:num>
  <w:num w:numId="12">
    <w:abstractNumId w:val="10"/>
  </w:num>
  <w:num w:numId="13">
    <w:abstractNumId w:val="16"/>
  </w:num>
  <w:num w:numId="14">
    <w:abstractNumId w:val="6"/>
  </w:num>
  <w:num w:numId="15">
    <w:abstractNumId w:val="12"/>
  </w:num>
  <w:num w:numId="16">
    <w:abstractNumId w:val="13"/>
  </w:num>
  <w:num w:numId="17">
    <w:abstractNumId w:val="21"/>
  </w:num>
  <w:num w:numId="18">
    <w:abstractNumId w:val="23"/>
  </w:num>
  <w:num w:numId="19">
    <w:abstractNumId w:val="19"/>
  </w:num>
  <w:num w:numId="20">
    <w:abstractNumId w:val="3"/>
  </w:num>
  <w:num w:numId="21">
    <w:abstractNumId w:val="11"/>
  </w:num>
  <w:num w:numId="22">
    <w:abstractNumId w:val="2"/>
  </w:num>
  <w:num w:numId="23">
    <w:abstractNumId w:val="20"/>
  </w:num>
  <w:num w:numId="24">
    <w:abstractNumId w:val="5"/>
  </w:num>
  <w:num w:numId="25">
    <w:abstractNumId w:val="4"/>
  </w:num>
  <w:num w:numId="26">
    <w:abstractNumId w:val="9"/>
  </w:num>
  <w:num w:numId="2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7D"/>
    <w:rsid w:val="0000225B"/>
    <w:rsid w:val="00003339"/>
    <w:rsid w:val="000100F3"/>
    <w:rsid w:val="00052E61"/>
    <w:rsid w:val="00056F08"/>
    <w:rsid w:val="00060A3D"/>
    <w:rsid w:val="00081194"/>
    <w:rsid w:val="000830D2"/>
    <w:rsid w:val="00085E2A"/>
    <w:rsid w:val="00086B88"/>
    <w:rsid w:val="000A5F50"/>
    <w:rsid w:val="00100A72"/>
    <w:rsid w:val="0010659E"/>
    <w:rsid w:val="001748DC"/>
    <w:rsid w:val="00181E9B"/>
    <w:rsid w:val="0018543C"/>
    <w:rsid w:val="001A58D5"/>
    <w:rsid w:val="001B7EA7"/>
    <w:rsid w:val="001D3A0F"/>
    <w:rsid w:val="002068C1"/>
    <w:rsid w:val="00207832"/>
    <w:rsid w:val="00247569"/>
    <w:rsid w:val="0026636E"/>
    <w:rsid w:val="0027103A"/>
    <w:rsid w:val="00272D84"/>
    <w:rsid w:val="00282B61"/>
    <w:rsid w:val="0029530D"/>
    <w:rsid w:val="002A43BD"/>
    <w:rsid w:val="002B292B"/>
    <w:rsid w:val="002C18AB"/>
    <w:rsid w:val="002C1C6D"/>
    <w:rsid w:val="002F1472"/>
    <w:rsid w:val="00326255"/>
    <w:rsid w:val="003454BA"/>
    <w:rsid w:val="00374AA8"/>
    <w:rsid w:val="00384B36"/>
    <w:rsid w:val="003874F3"/>
    <w:rsid w:val="003A4F24"/>
    <w:rsid w:val="003E6D2D"/>
    <w:rsid w:val="003F0FE4"/>
    <w:rsid w:val="003F68A5"/>
    <w:rsid w:val="004011B1"/>
    <w:rsid w:val="00402E9D"/>
    <w:rsid w:val="00416BE8"/>
    <w:rsid w:val="004759CB"/>
    <w:rsid w:val="00480467"/>
    <w:rsid w:val="00491582"/>
    <w:rsid w:val="004E5796"/>
    <w:rsid w:val="00503EFB"/>
    <w:rsid w:val="005104D7"/>
    <w:rsid w:val="00512863"/>
    <w:rsid w:val="005455AD"/>
    <w:rsid w:val="00565B2B"/>
    <w:rsid w:val="00576FB2"/>
    <w:rsid w:val="00587C7D"/>
    <w:rsid w:val="0059247E"/>
    <w:rsid w:val="005A5B14"/>
    <w:rsid w:val="005E31E0"/>
    <w:rsid w:val="005F5F73"/>
    <w:rsid w:val="006117B7"/>
    <w:rsid w:val="006138DD"/>
    <w:rsid w:val="00613B9C"/>
    <w:rsid w:val="0062466F"/>
    <w:rsid w:val="00651B1C"/>
    <w:rsid w:val="00652046"/>
    <w:rsid w:val="006628F2"/>
    <w:rsid w:val="006656CF"/>
    <w:rsid w:val="0066681C"/>
    <w:rsid w:val="006777F8"/>
    <w:rsid w:val="006B1593"/>
    <w:rsid w:val="006B427B"/>
    <w:rsid w:val="006B68A6"/>
    <w:rsid w:val="006C4BA8"/>
    <w:rsid w:val="006F471A"/>
    <w:rsid w:val="00734790"/>
    <w:rsid w:val="00735A8D"/>
    <w:rsid w:val="00751BE7"/>
    <w:rsid w:val="00754398"/>
    <w:rsid w:val="00767947"/>
    <w:rsid w:val="0077220E"/>
    <w:rsid w:val="007752F5"/>
    <w:rsid w:val="0078722E"/>
    <w:rsid w:val="007A05B8"/>
    <w:rsid w:val="007A07AB"/>
    <w:rsid w:val="007A08DB"/>
    <w:rsid w:val="007A3169"/>
    <w:rsid w:val="007B2463"/>
    <w:rsid w:val="00803ECF"/>
    <w:rsid w:val="00804D8F"/>
    <w:rsid w:val="00816A97"/>
    <w:rsid w:val="00825101"/>
    <w:rsid w:val="00835018"/>
    <w:rsid w:val="008362F5"/>
    <w:rsid w:val="008445E8"/>
    <w:rsid w:val="00867DD4"/>
    <w:rsid w:val="008727DD"/>
    <w:rsid w:val="008B0E52"/>
    <w:rsid w:val="008C7674"/>
    <w:rsid w:val="008E26C2"/>
    <w:rsid w:val="008F48ED"/>
    <w:rsid w:val="0091155D"/>
    <w:rsid w:val="00922245"/>
    <w:rsid w:val="00923C7F"/>
    <w:rsid w:val="00934855"/>
    <w:rsid w:val="00942799"/>
    <w:rsid w:val="00943BA0"/>
    <w:rsid w:val="00947F36"/>
    <w:rsid w:val="0095270C"/>
    <w:rsid w:val="00963D49"/>
    <w:rsid w:val="009658E6"/>
    <w:rsid w:val="0097513A"/>
    <w:rsid w:val="0098645E"/>
    <w:rsid w:val="009A62E9"/>
    <w:rsid w:val="009D08E2"/>
    <w:rsid w:val="009E6BFE"/>
    <w:rsid w:val="009F3570"/>
    <w:rsid w:val="00A1184E"/>
    <w:rsid w:val="00A15B17"/>
    <w:rsid w:val="00A161D2"/>
    <w:rsid w:val="00A35C44"/>
    <w:rsid w:val="00A408D1"/>
    <w:rsid w:val="00A56C65"/>
    <w:rsid w:val="00A65F3E"/>
    <w:rsid w:val="00A73D5B"/>
    <w:rsid w:val="00A93088"/>
    <w:rsid w:val="00A95074"/>
    <w:rsid w:val="00A96B68"/>
    <w:rsid w:val="00A975C9"/>
    <w:rsid w:val="00AA6D54"/>
    <w:rsid w:val="00AA73F7"/>
    <w:rsid w:val="00AC1B74"/>
    <w:rsid w:val="00AC6A8E"/>
    <w:rsid w:val="00AD13EF"/>
    <w:rsid w:val="00AF46F0"/>
    <w:rsid w:val="00AF640F"/>
    <w:rsid w:val="00AF78D8"/>
    <w:rsid w:val="00B061C7"/>
    <w:rsid w:val="00B06934"/>
    <w:rsid w:val="00B209CC"/>
    <w:rsid w:val="00B232E3"/>
    <w:rsid w:val="00B26E57"/>
    <w:rsid w:val="00B40A19"/>
    <w:rsid w:val="00B54417"/>
    <w:rsid w:val="00B67468"/>
    <w:rsid w:val="00B769A4"/>
    <w:rsid w:val="00B81135"/>
    <w:rsid w:val="00BB065A"/>
    <w:rsid w:val="00BE2B98"/>
    <w:rsid w:val="00C158E1"/>
    <w:rsid w:val="00C16D0F"/>
    <w:rsid w:val="00C32DC2"/>
    <w:rsid w:val="00C3307D"/>
    <w:rsid w:val="00C34DDE"/>
    <w:rsid w:val="00C42460"/>
    <w:rsid w:val="00C43BE0"/>
    <w:rsid w:val="00C56C6D"/>
    <w:rsid w:val="00C74874"/>
    <w:rsid w:val="00C86551"/>
    <w:rsid w:val="00C916C0"/>
    <w:rsid w:val="00CC6108"/>
    <w:rsid w:val="00CD03B4"/>
    <w:rsid w:val="00D25961"/>
    <w:rsid w:val="00D42389"/>
    <w:rsid w:val="00D565E4"/>
    <w:rsid w:val="00D6119A"/>
    <w:rsid w:val="00D85EAA"/>
    <w:rsid w:val="00D95B16"/>
    <w:rsid w:val="00DA5669"/>
    <w:rsid w:val="00DA7D75"/>
    <w:rsid w:val="00DC32EA"/>
    <w:rsid w:val="00DD029E"/>
    <w:rsid w:val="00DE12EB"/>
    <w:rsid w:val="00E11E8B"/>
    <w:rsid w:val="00E16AA5"/>
    <w:rsid w:val="00E229BA"/>
    <w:rsid w:val="00E77F07"/>
    <w:rsid w:val="00E95175"/>
    <w:rsid w:val="00EA23F1"/>
    <w:rsid w:val="00EB0544"/>
    <w:rsid w:val="00EC3B4F"/>
    <w:rsid w:val="00ED550C"/>
    <w:rsid w:val="00F11389"/>
    <w:rsid w:val="00F279C8"/>
    <w:rsid w:val="00F3629A"/>
    <w:rsid w:val="00F6554C"/>
    <w:rsid w:val="00F85AA3"/>
    <w:rsid w:val="00FA6054"/>
    <w:rsid w:val="00FB5538"/>
    <w:rsid w:val="00FC20D1"/>
    <w:rsid w:val="00FD2325"/>
    <w:rsid w:val="00FF19A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2B13"/>
  <w15:docId w15:val="{9F0E63A5-90B7-4F7C-9812-0347AD44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B9C"/>
    <w:rPr>
      <w:rFonts w:cs="Shruti"/>
    </w:rPr>
  </w:style>
  <w:style w:type="paragraph" w:styleId="Heading1">
    <w:name w:val="heading 1"/>
    <w:basedOn w:val="Normal"/>
    <w:next w:val="Normal"/>
    <w:link w:val="Heading1Char"/>
    <w:uiPriority w:val="9"/>
    <w:qFormat/>
    <w:rsid w:val="009E6B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330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30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30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30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307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307D"/>
    <w:rPr>
      <w:rFonts w:ascii="Times New Roman" w:eastAsia="Times New Roman" w:hAnsi="Times New Roman" w:cs="Times New Roman"/>
      <w:b/>
      <w:bCs/>
      <w:sz w:val="24"/>
      <w:szCs w:val="24"/>
    </w:rPr>
  </w:style>
  <w:style w:type="paragraph" w:styleId="NormalWeb">
    <w:name w:val="Normal (Web)"/>
    <w:basedOn w:val="Normal"/>
    <w:uiPriority w:val="99"/>
    <w:unhideWhenUsed/>
    <w:rsid w:val="00C330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307D"/>
    <w:rPr>
      <w:b/>
      <w:bCs/>
    </w:rPr>
  </w:style>
  <w:style w:type="character" w:styleId="Emphasis">
    <w:name w:val="Emphasis"/>
    <w:basedOn w:val="DefaultParagraphFont"/>
    <w:uiPriority w:val="20"/>
    <w:qFormat/>
    <w:rsid w:val="00C3307D"/>
    <w:rPr>
      <w:i/>
      <w:iCs/>
    </w:rPr>
  </w:style>
  <w:style w:type="paragraph" w:styleId="ListParagraph">
    <w:name w:val="List Paragraph"/>
    <w:basedOn w:val="Normal"/>
    <w:uiPriority w:val="34"/>
    <w:qFormat/>
    <w:rsid w:val="00A56C65"/>
    <w:pPr>
      <w:ind w:left="720"/>
      <w:contextualSpacing/>
    </w:pPr>
  </w:style>
  <w:style w:type="character" w:styleId="CommentReference">
    <w:name w:val="annotation reference"/>
    <w:basedOn w:val="DefaultParagraphFont"/>
    <w:uiPriority w:val="99"/>
    <w:semiHidden/>
    <w:unhideWhenUsed/>
    <w:rsid w:val="00D6119A"/>
    <w:rPr>
      <w:sz w:val="16"/>
      <w:szCs w:val="16"/>
    </w:rPr>
  </w:style>
  <w:style w:type="paragraph" w:styleId="CommentText">
    <w:name w:val="annotation text"/>
    <w:basedOn w:val="Normal"/>
    <w:link w:val="CommentTextChar"/>
    <w:uiPriority w:val="99"/>
    <w:semiHidden/>
    <w:unhideWhenUsed/>
    <w:rsid w:val="00D6119A"/>
    <w:pPr>
      <w:spacing w:line="240" w:lineRule="auto"/>
    </w:pPr>
    <w:rPr>
      <w:sz w:val="20"/>
      <w:szCs w:val="20"/>
    </w:rPr>
  </w:style>
  <w:style w:type="character" w:customStyle="1" w:styleId="CommentTextChar">
    <w:name w:val="Comment Text Char"/>
    <w:basedOn w:val="DefaultParagraphFont"/>
    <w:link w:val="CommentText"/>
    <w:uiPriority w:val="99"/>
    <w:semiHidden/>
    <w:rsid w:val="00D6119A"/>
    <w:rPr>
      <w:rFonts w:cs="Shruti"/>
      <w:sz w:val="20"/>
      <w:szCs w:val="20"/>
    </w:rPr>
  </w:style>
  <w:style w:type="paragraph" w:styleId="CommentSubject">
    <w:name w:val="annotation subject"/>
    <w:basedOn w:val="CommentText"/>
    <w:next w:val="CommentText"/>
    <w:link w:val="CommentSubjectChar"/>
    <w:uiPriority w:val="99"/>
    <w:semiHidden/>
    <w:unhideWhenUsed/>
    <w:rsid w:val="00D6119A"/>
    <w:rPr>
      <w:b/>
      <w:bCs/>
    </w:rPr>
  </w:style>
  <w:style w:type="character" w:customStyle="1" w:styleId="CommentSubjectChar">
    <w:name w:val="Comment Subject Char"/>
    <w:basedOn w:val="CommentTextChar"/>
    <w:link w:val="CommentSubject"/>
    <w:uiPriority w:val="99"/>
    <w:semiHidden/>
    <w:rsid w:val="00D6119A"/>
    <w:rPr>
      <w:rFonts w:cs="Shruti"/>
      <w:b/>
      <w:bCs/>
      <w:sz w:val="20"/>
      <w:szCs w:val="20"/>
    </w:rPr>
  </w:style>
  <w:style w:type="paragraph" w:styleId="BalloonText">
    <w:name w:val="Balloon Text"/>
    <w:basedOn w:val="Normal"/>
    <w:link w:val="BalloonTextChar"/>
    <w:uiPriority w:val="99"/>
    <w:semiHidden/>
    <w:unhideWhenUsed/>
    <w:rsid w:val="00D61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19A"/>
    <w:rPr>
      <w:rFonts w:ascii="Tahoma" w:hAnsi="Tahoma" w:cs="Tahoma"/>
      <w:sz w:val="16"/>
      <w:szCs w:val="16"/>
    </w:rPr>
  </w:style>
  <w:style w:type="paragraph" w:styleId="Header">
    <w:name w:val="header"/>
    <w:basedOn w:val="Normal"/>
    <w:link w:val="HeaderChar"/>
    <w:uiPriority w:val="99"/>
    <w:semiHidden/>
    <w:unhideWhenUsed/>
    <w:rsid w:val="00923C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3C7F"/>
    <w:rPr>
      <w:rFonts w:cs="Shruti"/>
    </w:rPr>
  </w:style>
  <w:style w:type="paragraph" w:styleId="Footer">
    <w:name w:val="footer"/>
    <w:basedOn w:val="Normal"/>
    <w:link w:val="FooterChar"/>
    <w:uiPriority w:val="99"/>
    <w:semiHidden/>
    <w:unhideWhenUsed/>
    <w:rsid w:val="00923C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3C7F"/>
    <w:rPr>
      <w:rFonts w:cs="Shruti"/>
    </w:rPr>
  </w:style>
  <w:style w:type="character" w:customStyle="1" w:styleId="Heading1Char">
    <w:name w:val="Heading 1 Char"/>
    <w:basedOn w:val="DefaultParagraphFont"/>
    <w:link w:val="Heading1"/>
    <w:uiPriority w:val="9"/>
    <w:rsid w:val="009E6BF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540">
      <w:bodyDiv w:val="1"/>
      <w:marLeft w:val="0"/>
      <w:marRight w:val="0"/>
      <w:marTop w:val="0"/>
      <w:marBottom w:val="0"/>
      <w:divBdr>
        <w:top w:val="none" w:sz="0" w:space="0" w:color="auto"/>
        <w:left w:val="none" w:sz="0" w:space="0" w:color="auto"/>
        <w:bottom w:val="none" w:sz="0" w:space="0" w:color="auto"/>
        <w:right w:val="none" w:sz="0" w:space="0" w:color="auto"/>
      </w:divBdr>
    </w:div>
    <w:div w:id="31468597">
      <w:bodyDiv w:val="1"/>
      <w:marLeft w:val="0"/>
      <w:marRight w:val="0"/>
      <w:marTop w:val="0"/>
      <w:marBottom w:val="0"/>
      <w:divBdr>
        <w:top w:val="none" w:sz="0" w:space="0" w:color="auto"/>
        <w:left w:val="none" w:sz="0" w:space="0" w:color="auto"/>
        <w:bottom w:val="none" w:sz="0" w:space="0" w:color="auto"/>
        <w:right w:val="none" w:sz="0" w:space="0" w:color="auto"/>
      </w:divBdr>
    </w:div>
    <w:div w:id="49349842">
      <w:bodyDiv w:val="1"/>
      <w:marLeft w:val="0"/>
      <w:marRight w:val="0"/>
      <w:marTop w:val="0"/>
      <w:marBottom w:val="0"/>
      <w:divBdr>
        <w:top w:val="none" w:sz="0" w:space="0" w:color="auto"/>
        <w:left w:val="none" w:sz="0" w:space="0" w:color="auto"/>
        <w:bottom w:val="none" w:sz="0" w:space="0" w:color="auto"/>
        <w:right w:val="none" w:sz="0" w:space="0" w:color="auto"/>
      </w:divBdr>
    </w:div>
    <w:div w:id="62681799">
      <w:bodyDiv w:val="1"/>
      <w:marLeft w:val="0"/>
      <w:marRight w:val="0"/>
      <w:marTop w:val="0"/>
      <w:marBottom w:val="0"/>
      <w:divBdr>
        <w:top w:val="none" w:sz="0" w:space="0" w:color="auto"/>
        <w:left w:val="none" w:sz="0" w:space="0" w:color="auto"/>
        <w:bottom w:val="none" w:sz="0" w:space="0" w:color="auto"/>
        <w:right w:val="none" w:sz="0" w:space="0" w:color="auto"/>
      </w:divBdr>
    </w:div>
    <w:div w:id="94064027">
      <w:bodyDiv w:val="1"/>
      <w:marLeft w:val="0"/>
      <w:marRight w:val="0"/>
      <w:marTop w:val="0"/>
      <w:marBottom w:val="0"/>
      <w:divBdr>
        <w:top w:val="none" w:sz="0" w:space="0" w:color="auto"/>
        <w:left w:val="none" w:sz="0" w:space="0" w:color="auto"/>
        <w:bottom w:val="none" w:sz="0" w:space="0" w:color="auto"/>
        <w:right w:val="none" w:sz="0" w:space="0" w:color="auto"/>
      </w:divBdr>
    </w:div>
    <w:div w:id="118454907">
      <w:bodyDiv w:val="1"/>
      <w:marLeft w:val="0"/>
      <w:marRight w:val="0"/>
      <w:marTop w:val="0"/>
      <w:marBottom w:val="0"/>
      <w:divBdr>
        <w:top w:val="none" w:sz="0" w:space="0" w:color="auto"/>
        <w:left w:val="none" w:sz="0" w:space="0" w:color="auto"/>
        <w:bottom w:val="none" w:sz="0" w:space="0" w:color="auto"/>
        <w:right w:val="none" w:sz="0" w:space="0" w:color="auto"/>
      </w:divBdr>
    </w:div>
    <w:div w:id="195850530">
      <w:bodyDiv w:val="1"/>
      <w:marLeft w:val="0"/>
      <w:marRight w:val="0"/>
      <w:marTop w:val="0"/>
      <w:marBottom w:val="0"/>
      <w:divBdr>
        <w:top w:val="none" w:sz="0" w:space="0" w:color="auto"/>
        <w:left w:val="none" w:sz="0" w:space="0" w:color="auto"/>
        <w:bottom w:val="none" w:sz="0" w:space="0" w:color="auto"/>
        <w:right w:val="none" w:sz="0" w:space="0" w:color="auto"/>
      </w:divBdr>
    </w:div>
    <w:div w:id="256252863">
      <w:bodyDiv w:val="1"/>
      <w:marLeft w:val="0"/>
      <w:marRight w:val="0"/>
      <w:marTop w:val="0"/>
      <w:marBottom w:val="0"/>
      <w:divBdr>
        <w:top w:val="none" w:sz="0" w:space="0" w:color="auto"/>
        <w:left w:val="none" w:sz="0" w:space="0" w:color="auto"/>
        <w:bottom w:val="none" w:sz="0" w:space="0" w:color="auto"/>
        <w:right w:val="none" w:sz="0" w:space="0" w:color="auto"/>
      </w:divBdr>
    </w:div>
    <w:div w:id="273679047">
      <w:bodyDiv w:val="1"/>
      <w:marLeft w:val="0"/>
      <w:marRight w:val="0"/>
      <w:marTop w:val="0"/>
      <w:marBottom w:val="0"/>
      <w:divBdr>
        <w:top w:val="none" w:sz="0" w:space="0" w:color="auto"/>
        <w:left w:val="none" w:sz="0" w:space="0" w:color="auto"/>
        <w:bottom w:val="none" w:sz="0" w:space="0" w:color="auto"/>
        <w:right w:val="none" w:sz="0" w:space="0" w:color="auto"/>
      </w:divBdr>
    </w:div>
    <w:div w:id="346567486">
      <w:bodyDiv w:val="1"/>
      <w:marLeft w:val="0"/>
      <w:marRight w:val="0"/>
      <w:marTop w:val="0"/>
      <w:marBottom w:val="0"/>
      <w:divBdr>
        <w:top w:val="none" w:sz="0" w:space="0" w:color="auto"/>
        <w:left w:val="none" w:sz="0" w:space="0" w:color="auto"/>
        <w:bottom w:val="none" w:sz="0" w:space="0" w:color="auto"/>
        <w:right w:val="none" w:sz="0" w:space="0" w:color="auto"/>
      </w:divBdr>
    </w:div>
    <w:div w:id="369651364">
      <w:bodyDiv w:val="1"/>
      <w:marLeft w:val="0"/>
      <w:marRight w:val="0"/>
      <w:marTop w:val="0"/>
      <w:marBottom w:val="0"/>
      <w:divBdr>
        <w:top w:val="none" w:sz="0" w:space="0" w:color="auto"/>
        <w:left w:val="none" w:sz="0" w:space="0" w:color="auto"/>
        <w:bottom w:val="none" w:sz="0" w:space="0" w:color="auto"/>
        <w:right w:val="none" w:sz="0" w:space="0" w:color="auto"/>
      </w:divBdr>
    </w:div>
    <w:div w:id="374307799">
      <w:bodyDiv w:val="1"/>
      <w:marLeft w:val="0"/>
      <w:marRight w:val="0"/>
      <w:marTop w:val="0"/>
      <w:marBottom w:val="0"/>
      <w:divBdr>
        <w:top w:val="none" w:sz="0" w:space="0" w:color="auto"/>
        <w:left w:val="none" w:sz="0" w:space="0" w:color="auto"/>
        <w:bottom w:val="none" w:sz="0" w:space="0" w:color="auto"/>
        <w:right w:val="none" w:sz="0" w:space="0" w:color="auto"/>
      </w:divBdr>
    </w:div>
    <w:div w:id="420610496">
      <w:bodyDiv w:val="1"/>
      <w:marLeft w:val="0"/>
      <w:marRight w:val="0"/>
      <w:marTop w:val="0"/>
      <w:marBottom w:val="0"/>
      <w:divBdr>
        <w:top w:val="none" w:sz="0" w:space="0" w:color="auto"/>
        <w:left w:val="none" w:sz="0" w:space="0" w:color="auto"/>
        <w:bottom w:val="none" w:sz="0" w:space="0" w:color="auto"/>
        <w:right w:val="none" w:sz="0" w:space="0" w:color="auto"/>
      </w:divBdr>
    </w:div>
    <w:div w:id="455638171">
      <w:bodyDiv w:val="1"/>
      <w:marLeft w:val="0"/>
      <w:marRight w:val="0"/>
      <w:marTop w:val="0"/>
      <w:marBottom w:val="0"/>
      <w:divBdr>
        <w:top w:val="none" w:sz="0" w:space="0" w:color="auto"/>
        <w:left w:val="none" w:sz="0" w:space="0" w:color="auto"/>
        <w:bottom w:val="none" w:sz="0" w:space="0" w:color="auto"/>
        <w:right w:val="none" w:sz="0" w:space="0" w:color="auto"/>
      </w:divBdr>
    </w:div>
    <w:div w:id="457379924">
      <w:bodyDiv w:val="1"/>
      <w:marLeft w:val="0"/>
      <w:marRight w:val="0"/>
      <w:marTop w:val="0"/>
      <w:marBottom w:val="0"/>
      <w:divBdr>
        <w:top w:val="none" w:sz="0" w:space="0" w:color="auto"/>
        <w:left w:val="none" w:sz="0" w:space="0" w:color="auto"/>
        <w:bottom w:val="none" w:sz="0" w:space="0" w:color="auto"/>
        <w:right w:val="none" w:sz="0" w:space="0" w:color="auto"/>
      </w:divBdr>
    </w:div>
    <w:div w:id="463817497">
      <w:bodyDiv w:val="1"/>
      <w:marLeft w:val="0"/>
      <w:marRight w:val="0"/>
      <w:marTop w:val="0"/>
      <w:marBottom w:val="0"/>
      <w:divBdr>
        <w:top w:val="none" w:sz="0" w:space="0" w:color="auto"/>
        <w:left w:val="none" w:sz="0" w:space="0" w:color="auto"/>
        <w:bottom w:val="none" w:sz="0" w:space="0" w:color="auto"/>
        <w:right w:val="none" w:sz="0" w:space="0" w:color="auto"/>
      </w:divBdr>
    </w:div>
    <w:div w:id="469135737">
      <w:bodyDiv w:val="1"/>
      <w:marLeft w:val="0"/>
      <w:marRight w:val="0"/>
      <w:marTop w:val="0"/>
      <w:marBottom w:val="0"/>
      <w:divBdr>
        <w:top w:val="none" w:sz="0" w:space="0" w:color="auto"/>
        <w:left w:val="none" w:sz="0" w:space="0" w:color="auto"/>
        <w:bottom w:val="none" w:sz="0" w:space="0" w:color="auto"/>
        <w:right w:val="none" w:sz="0" w:space="0" w:color="auto"/>
      </w:divBdr>
    </w:div>
    <w:div w:id="502478309">
      <w:bodyDiv w:val="1"/>
      <w:marLeft w:val="0"/>
      <w:marRight w:val="0"/>
      <w:marTop w:val="0"/>
      <w:marBottom w:val="0"/>
      <w:divBdr>
        <w:top w:val="none" w:sz="0" w:space="0" w:color="auto"/>
        <w:left w:val="none" w:sz="0" w:space="0" w:color="auto"/>
        <w:bottom w:val="none" w:sz="0" w:space="0" w:color="auto"/>
        <w:right w:val="none" w:sz="0" w:space="0" w:color="auto"/>
      </w:divBdr>
    </w:div>
    <w:div w:id="507647014">
      <w:bodyDiv w:val="1"/>
      <w:marLeft w:val="0"/>
      <w:marRight w:val="0"/>
      <w:marTop w:val="0"/>
      <w:marBottom w:val="0"/>
      <w:divBdr>
        <w:top w:val="none" w:sz="0" w:space="0" w:color="auto"/>
        <w:left w:val="none" w:sz="0" w:space="0" w:color="auto"/>
        <w:bottom w:val="none" w:sz="0" w:space="0" w:color="auto"/>
        <w:right w:val="none" w:sz="0" w:space="0" w:color="auto"/>
      </w:divBdr>
    </w:div>
    <w:div w:id="511799420">
      <w:bodyDiv w:val="1"/>
      <w:marLeft w:val="0"/>
      <w:marRight w:val="0"/>
      <w:marTop w:val="0"/>
      <w:marBottom w:val="0"/>
      <w:divBdr>
        <w:top w:val="none" w:sz="0" w:space="0" w:color="auto"/>
        <w:left w:val="none" w:sz="0" w:space="0" w:color="auto"/>
        <w:bottom w:val="none" w:sz="0" w:space="0" w:color="auto"/>
        <w:right w:val="none" w:sz="0" w:space="0" w:color="auto"/>
      </w:divBdr>
    </w:div>
    <w:div w:id="530071692">
      <w:bodyDiv w:val="1"/>
      <w:marLeft w:val="0"/>
      <w:marRight w:val="0"/>
      <w:marTop w:val="0"/>
      <w:marBottom w:val="0"/>
      <w:divBdr>
        <w:top w:val="none" w:sz="0" w:space="0" w:color="auto"/>
        <w:left w:val="none" w:sz="0" w:space="0" w:color="auto"/>
        <w:bottom w:val="none" w:sz="0" w:space="0" w:color="auto"/>
        <w:right w:val="none" w:sz="0" w:space="0" w:color="auto"/>
      </w:divBdr>
    </w:div>
    <w:div w:id="531653472">
      <w:bodyDiv w:val="1"/>
      <w:marLeft w:val="0"/>
      <w:marRight w:val="0"/>
      <w:marTop w:val="0"/>
      <w:marBottom w:val="0"/>
      <w:divBdr>
        <w:top w:val="none" w:sz="0" w:space="0" w:color="auto"/>
        <w:left w:val="none" w:sz="0" w:space="0" w:color="auto"/>
        <w:bottom w:val="none" w:sz="0" w:space="0" w:color="auto"/>
        <w:right w:val="none" w:sz="0" w:space="0" w:color="auto"/>
      </w:divBdr>
    </w:div>
    <w:div w:id="539316599">
      <w:bodyDiv w:val="1"/>
      <w:marLeft w:val="0"/>
      <w:marRight w:val="0"/>
      <w:marTop w:val="0"/>
      <w:marBottom w:val="0"/>
      <w:divBdr>
        <w:top w:val="none" w:sz="0" w:space="0" w:color="auto"/>
        <w:left w:val="none" w:sz="0" w:space="0" w:color="auto"/>
        <w:bottom w:val="none" w:sz="0" w:space="0" w:color="auto"/>
        <w:right w:val="none" w:sz="0" w:space="0" w:color="auto"/>
      </w:divBdr>
    </w:div>
    <w:div w:id="547184007">
      <w:bodyDiv w:val="1"/>
      <w:marLeft w:val="0"/>
      <w:marRight w:val="0"/>
      <w:marTop w:val="0"/>
      <w:marBottom w:val="0"/>
      <w:divBdr>
        <w:top w:val="none" w:sz="0" w:space="0" w:color="auto"/>
        <w:left w:val="none" w:sz="0" w:space="0" w:color="auto"/>
        <w:bottom w:val="none" w:sz="0" w:space="0" w:color="auto"/>
        <w:right w:val="none" w:sz="0" w:space="0" w:color="auto"/>
      </w:divBdr>
    </w:div>
    <w:div w:id="559440922">
      <w:bodyDiv w:val="1"/>
      <w:marLeft w:val="0"/>
      <w:marRight w:val="0"/>
      <w:marTop w:val="0"/>
      <w:marBottom w:val="0"/>
      <w:divBdr>
        <w:top w:val="none" w:sz="0" w:space="0" w:color="auto"/>
        <w:left w:val="none" w:sz="0" w:space="0" w:color="auto"/>
        <w:bottom w:val="none" w:sz="0" w:space="0" w:color="auto"/>
        <w:right w:val="none" w:sz="0" w:space="0" w:color="auto"/>
      </w:divBdr>
    </w:div>
    <w:div w:id="569845555">
      <w:bodyDiv w:val="1"/>
      <w:marLeft w:val="0"/>
      <w:marRight w:val="0"/>
      <w:marTop w:val="0"/>
      <w:marBottom w:val="0"/>
      <w:divBdr>
        <w:top w:val="none" w:sz="0" w:space="0" w:color="auto"/>
        <w:left w:val="none" w:sz="0" w:space="0" w:color="auto"/>
        <w:bottom w:val="none" w:sz="0" w:space="0" w:color="auto"/>
        <w:right w:val="none" w:sz="0" w:space="0" w:color="auto"/>
      </w:divBdr>
    </w:div>
    <w:div w:id="577330920">
      <w:bodyDiv w:val="1"/>
      <w:marLeft w:val="0"/>
      <w:marRight w:val="0"/>
      <w:marTop w:val="0"/>
      <w:marBottom w:val="0"/>
      <w:divBdr>
        <w:top w:val="none" w:sz="0" w:space="0" w:color="auto"/>
        <w:left w:val="none" w:sz="0" w:space="0" w:color="auto"/>
        <w:bottom w:val="none" w:sz="0" w:space="0" w:color="auto"/>
        <w:right w:val="none" w:sz="0" w:space="0" w:color="auto"/>
      </w:divBdr>
    </w:div>
    <w:div w:id="615985453">
      <w:bodyDiv w:val="1"/>
      <w:marLeft w:val="0"/>
      <w:marRight w:val="0"/>
      <w:marTop w:val="0"/>
      <w:marBottom w:val="0"/>
      <w:divBdr>
        <w:top w:val="none" w:sz="0" w:space="0" w:color="auto"/>
        <w:left w:val="none" w:sz="0" w:space="0" w:color="auto"/>
        <w:bottom w:val="none" w:sz="0" w:space="0" w:color="auto"/>
        <w:right w:val="none" w:sz="0" w:space="0" w:color="auto"/>
      </w:divBdr>
    </w:div>
    <w:div w:id="666522172">
      <w:bodyDiv w:val="1"/>
      <w:marLeft w:val="0"/>
      <w:marRight w:val="0"/>
      <w:marTop w:val="0"/>
      <w:marBottom w:val="0"/>
      <w:divBdr>
        <w:top w:val="none" w:sz="0" w:space="0" w:color="auto"/>
        <w:left w:val="none" w:sz="0" w:space="0" w:color="auto"/>
        <w:bottom w:val="none" w:sz="0" w:space="0" w:color="auto"/>
        <w:right w:val="none" w:sz="0" w:space="0" w:color="auto"/>
      </w:divBdr>
    </w:div>
    <w:div w:id="709914036">
      <w:bodyDiv w:val="1"/>
      <w:marLeft w:val="0"/>
      <w:marRight w:val="0"/>
      <w:marTop w:val="0"/>
      <w:marBottom w:val="0"/>
      <w:divBdr>
        <w:top w:val="none" w:sz="0" w:space="0" w:color="auto"/>
        <w:left w:val="none" w:sz="0" w:space="0" w:color="auto"/>
        <w:bottom w:val="none" w:sz="0" w:space="0" w:color="auto"/>
        <w:right w:val="none" w:sz="0" w:space="0" w:color="auto"/>
      </w:divBdr>
      <w:divsChild>
        <w:div w:id="884754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619813">
      <w:bodyDiv w:val="1"/>
      <w:marLeft w:val="0"/>
      <w:marRight w:val="0"/>
      <w:marTop w:val="0"/>
      <w:marBottom w:val="0"/>
      <w:divBdr>
        <w:top w:val="none" w:sz="0" w:space="0" w:color="auto"/>
        <w:left w:val="none" w:sz="0" w:space="0" w:color="auto"/>
        <w:bottom w:val="none" w:sz="0" w:space="0" w:color="auto"/>
        <w:right w:val="none" w:sz="0" w:space="0" w:color="auto"/>
      </w:divBdr>
    </w:div>
    <w:div w:id="717781441">
      <w:bodyDiv w:val="1"/>
      <w:marLeft w:val="0"/>
      <w:marRight w:val="0"/>
      <w:marTop w:val="0"/>
      <w:marBottom w:val="0"/>
      <w:divBdr>
        <w:top w:val="none" w:sz="0" w:space="0" w:color="auto"/>
        <w:left w:val="none" w:sz="0" w:space="0" w:color="auto"/>
        <w:bottom w:val="none" w:sz="0" w:space="0" w:color="auto"/>
        <w:right w:val="none" w:sz="0" w:space="0" w:color="auto"/>
      </w:divBdr>
    </w:div>
    <w:div w:id="854417821">
      <w:bodyDiv w:val="1"/>
      <w:marLeft w:val="0"/>
      <w:marRight w:val="0"/>
      <w:marTop w:val="0"/>
      <w:marBottom w:val="0"/>
      <w:divBdr>
        <w:top w:val="none" w:sz="0" w:space="0" w:color="auto"/>
        <w:left w:val="none" w:sz="0" w:space="0" w:color="auto"/>
        <w:bottom w:val="none" w:sz="0" w:space="0" w:color="auto"/>
        <w:right w:val="none" w:sz="0" w:space="0" w:color="auto"/>
      </w:divBdr>
    </w:div>
    <w:div w:id="859049184">
      <w:bodyDiv w:val="1"/>
      <w:marLeft w:val="0"/>
      <w:marRight w:val="0"/>
      <w:marTop w:val="0"/>
      <w:marBottom w:val="0"/>
      <w:divBdr>
        <w:top w:val="none" w:sz="0" w:space="0" w:color="auto"/>
        <w:left w:val="none" w:sz="0" w:space="0" w:color="auto"/>
        <w:bottom w:val="none" w:sz="0" w:space="0" w:color="auto"/>
        <w:right w:val="none" w:sz="0" w:space="0" w:color="auto"/>
      </w:divBdr>
    </w:div>
    <w:div w:id="867986904">
      <w:bodyDiv w:val="1"/>
      <w:marLeft w:val="0"/>
      <w:marRight w:val="0"/>
      <w:marTop w:val="0"/>
      <w:marBottom w:val="0"/>
      <w:divBdr>
        <w:top w:val="none" w:sz="0" w:space="0" w:color="auto"/>
        <w:left w:val="none" w:sz="0" w:space="0" w:color="auto"/>
        <w:bottom w:val="none" w:sz="0" w:space="0" w:color="auto"/>
        <w:right w:val="none" w:sz="0" w:space="0" w:color="auto"/>
      </w:divBdr>
    </w:div>
    <w:div w:id="890385208">
      <w:bodyDiv w:val="1"/>
      <w:marLeft w:val="0"/>
      <w:marRight w:val="0"/>
      <w:marTop w:val="0"/>
      <w:marBottom w:val="0"/>
      <w:divBdr>
        <w:top w:val="none" w:sz="0" w:space="0" w:color="auto"/>
        <w:left w:val="none" w:sz="0" w:space="0" w:color="auto"/>
        <w:bottom w:val="none" w:sz="0" w:space="0" w:color="auto"/>
        <w:right w:val="none" w:sz="0" w:space="0" w:color="auto"/>
      </w:divBdr>
    </w:div>
    <w:div w:id="931548836">
      <w:bodyDiv w:val="1"/>
      <w:marLeft w:val="0"/>
      <w:marRight w:val="0"/>
      <w:marTop w:val="0"/>
      <w:marBottom w:val="0"/>
      <w:divBdr>
        <w:top w:val="none" w:sz="0" w:space="0" w:color="auto"/>
        <w:left w:val="none" w:sz="0" w:space="0" w:color="auto"/>
        <w:bottom w:val="none" w:sz="0" w:space="0" w:color="auto"/>
        <w:right w:val="none" w:sz="0" w:space="0" w:color="auto"/>
      </w:divBdr>
    </w:div>
    <w:div w:id="982854788">
      <w:bodyDiv w:val="1"/>
      <w:marLeft w:val="0"/>
      <w:marRight w:val="0"/>
      <w:marTop w:val="0"/>
      <w:marBottom w:val="0"/>
      <w:divBdr>
        <w:top w:val="none" w:sz="0" w:space="0" w:color="auto"/>
        <w:left w:val="none" w:sz="0" w:space="0" w:color="auto"/>
        <w:bottom w:val="none" w:sz="0" w:space="0" w:color="auto"/>
        <w:right w:val="none" w:sz="0" w:space="0" w:color="auto"/>
      </w:divBdr>
    </w:div>
    <w:div w:id="1008412946">
      <w:bodyDiv w:val="1"/>
      <w:marLeft w:val="0"/>
      <w:marRight w:val="0"/>
      <w:marTop w:val="0"/>
      <w:marBottom w:val="0"/>
      <w:divBdr>
        <w:top w:val="none" w:sz="0" w:space="0" w:color="auto"/>
        <w:left w:val="none" w:sz="0" w:space="0" w:color="auto"/>
        <w:bottom w:val="none" w:sz="0" w:space="0" w:color="auto"/>
        <w:right w:val="none" w:sz="0" w:space="0" w:color="auto"/>
      </w:divBdr>
    </w:div>
    <w:div w:id="1026177673">
      <w:bodyDiv w:val="1"/>
      <w:marLeft w:val="0"/>
      <w:marRight w:val="0"/>
      <w:marTop w:val="0"/>
      <w:marBottom w:val="0"/>
      <w:divBdr>
        <w:top w:val="none" w:sz="0" w:space="0" w:color="auto"/>
        <w:left w:val="none" w:sz="0" w:space="0" w:color="auto"/>
        <w:bottom w:val="none" w:sz="0" w:space="0" w:color="auto"/>
        <w:right w:val="none" w:sz="0" w:space="0" w:color="auto"/>
      </w:divBdr>
    </w:div>
    <w:div w:id="1064109761">
      <w:bodyDiv w:val="1"/>
      <w:marLeft w:val="0"/>
      <w:marRight w:val="0"/>
      <w:marTop w:val="0"/>
      <w:marBottom w:val="0"/>
      <w:divBdr>
        <w:top w:val="none" w:sz="0" w:space="0" w:color="auto"/>
        <w:left w:val="none" w:sz="0" w:space="0" w:color="auto"/>
        <w:bottom w:val="none" w:sz="0" w:space="0" w:color="auto"/>
        <w:right w:val="none" w:sz="0" w:space="0" w:color="auto"/>
      </w:divBdr>
    </w:div>
    <w:div w:id="1094395043">
      <w:bodyDiv w:val="1"/>
      <w:marLeft w:val="0"/>
      <w:marRight w:val="0"/>
      <w:marTop w:val="0"/>
      <w:marBottom w:val="0"/>
      <w:divBdr>
        <w:top w:val="none" w:sz="0" w:space="0" w:color="auto"/>
        <w:left w:val="none" w:sz="0" w:space="0" w:color="auto"/>
        <w:bottom w:val="none" w:sz="0" w:space="0" w:color="auto"/>
        <w:right w:val="none" w:sz="0" w:space="0" w:color="auto"/>
      </w:divBdr>
    </w:div>
    <w:div w:id="1144736577">
      <w:bodyDiv w:val="1"/>
      <w:marLeft w:val="0"/>
      <w:marRight w:val="0"/>
      <w:marTop w:val="0"/>
      <w:marBottom w:val="0"/>
      <w:divBdr>
        <w:top w:val="none" w:sz="0" w:space="0" w:color="auto"/>
        <w:left w:val="none" w:sz="0" w:space="0" w:color="auto"/>
        <w:bottom w:val="none" w:sz="0" w:space="0" w:color="auto"/>
        <w:right w:val="none" w:sz="0" w:space="0" w:color="auto"/>
      </w:divBdr>
    </w:div>
    <w:div w:id="1169249237">
      <w:bodyDiv w:val="1"/>
      <w:marLeft w:val="0"/>
      <w:marRight w:val="0"/>
      <w:marTop w:val="0"/>
      <w:marBottom w:val="0"/>
      <w:divBdr>
        <w:top w:val="none" w:sz="0" w:space="0" w:color="auto"/>
        <w:left w:val="none" w:sz="0" w:space="0" w:color="auto"/>
        <w:bottom w:val="none" w:sz="0" w:space="0" w:color="auto"/>
        <w:right w:val="none" w:sz="0" w:space="0" w:color="auto"/>
      </w:divBdr>
    </w:div>
    <w:div w:id="1176534217">
      <w:bodyDiv w:val="1"/>
      <w:marLeft w:val="0"/>
      <w:marRight w:val="0"/>
      <w:marTop w:val="0"/>
      <w:marBottom w:val="0"/>
      <w:divBdr>
        <w:top w:val="none" w:sz="0" w:space="0" w:color="auto"/>
        <w:left w:val="none" w:sz="0" w:space="0" w:color="auto"/>
        <w:bottom w:val="none" w:sz="0" w:space="0" w:color="auto"/>
        <w:right w:val="none" w:sz="0" w:space="0" w:color="auto"/>
      </w:divBdr>
    </w:div>
    <w:div w:id="1182860775">
      <w:bodyDiv w:val="1"/>
      <w:marLeft w:val="0"/>
      <w:marRight w:val="0"/>
      <w:marTop w:val="0"/>
      <w:marBottom w:val="0"/>
      <w:divBdr>
        <w:top w:val="none" w:sz="0" w:space="0" w:color="auto"/>
        <w:left w:val="none" w:sz="0" w:space="0" w:color="auto"/>
        <w:bottom w:val="none" w:sz="0" w:space="0" w:color="auto"/>
        <w:right w:val="none" w:sz="0" w:space="0" w:color="auto"/>
      </w:divBdr>
    </w:div>
    <w:div w:id="1201937476">
      <w:bodyDiv w:val="1"/>
      <w:marLeft w:val="0"/>
      <w:marRight w:val="0"/>
      <w:marTop w:val="0"/>
      <w:marBottom w:val="0"/>
      <w:divBdr>
        <w:top w:val="none" w:sz="0" w:space="0" w:color="auto"/>
        <w:left w:val="none" w:sz="0" w:space="0" w:color="auto"/>
        <w:bottom w:val="none" w:sz="0" w:space="0" w:color="auto"/>
        <w:right w:val="none" w:sz="0" w:space="0" w:color="auto"/>
      </w:divBdr>
    </w:div>
    <w:div w:id="1235117737">
      <w:bodyDiv w:val="1"/>
      <w:marLeft w:val="0"/>
      <w:marRight w:val="0"/>
      <w:marTop w:val="0"/>
      <w:marBottom w:val="0"/>
      <w:divBdr>
        <w:top w:val="none" w:sz="0" w:space="0" w:color="auto"/>
        <w:left w:val="none" w:sz="0" w:space="0" w:color="auto"/>
        <w:bottom w:val="none" w:sz="0" w:space="0" w:color="auto"/>
        <w:right w:val="none" w:sz="0" w:space="0" w:color="auto"/>
      </w:divBdr>
    </w:div>
    <w:div w:id="1289506065">
      <w:bodyDiv w:val="1"/>
      <w:marLeft w:val="0"/>
      <w:marRight w:val="0"/>
      <w:marTop w:val="0"/>
      <w:marBottom w:val="0"/>
      <w:divBdr>
        <w:top w:val="none" w:sz="0" w:space="0" w:color="auto"/>
        <w:left w:val="none" w:sz="0" w:space="0" w:color="auto"/>
        <w:bottom w:val="none" w:sz="0" w:space="0" w:color="auto"/>
        <w:right w:val="none" w:sz="0" w:space="0" w:color="auto"/>
      </w:divBdr>
    </w:div>
    <w:div w:id="1299339481">
      <w:bodyDiv w:val="1"/>
      <w:marLeft w:val="0"/>
      <w:marRight w:val="0"/>
      <w:marTop w:val="0"/>
      <w:marBottom w:val="0"/>
      <w:divBdr>
        <w:top w:val="none" w:sz="0" w:space="0" w:color="auto"/>
        <w:left w:val="none" w:sz="0" w:space="0" w:color="auto"/>
        <w:bottom w:val="none" w:sz="0" w:space="0" w:color="auto"/>
        <w:right w:val="none" w:sz="0" w:space="0" w:color="auto"/>
      </w:divBdr>
    </w:div>
    <w:div w:id="1312827944">
      <w:bodyDiv w:val="1"/>
      <w:marLeft w:val="0"/>
      <w:marRight w:val="0"/>
      <w:marTop w:val="0"/>
      <w:marBottom w:val="0"/>
      <w:divBdr>
        <w:top w:val="none" w:sz="0" w:space="0" w:color="auto"/>
        <w:left w:val="none" w:sz="0" w:space="0" w:color="auto"/>
        <w:bottom w:val="none" w:sz="0" w:space="0" w:color="auto"/>
        <w:right w:val="none" w:sz="0" w:space="0" w:color="auto"/>
      </w:divBdr>
    </w:div>
    <w:div w:id="1328048741">
      <w:bodyDiv w:val="1"/>
      <w:marLeft w:val="0"/>
      <w:marRight w:val="0"/>
      <w:marTop w:val="0"/>
      <w:marBottom w:val="0"/>
      <w:divBdr>
        <w:top w:val="none" w:sz="0" w:space="0" w:color="auto"/>
        <w:left w:val="none" w:sz="0" w:space="0" w:color="auto"/>
        <w:bottom w:val="none" w:sz="0" w:space="0" w:color="auto"/>
        <w:right w:val="none" w:sz="0" w:space="0" w:color="auto"/>
      </w:divBdr>
    </w:div>
    <w:div w:id="1339501096">
      <w:bodyDiv w:val="1"/>
      <w:marLeft w:val="0"/>
      <w:marRight w:val="0"/>
      <w:marTop w:val="0"/>
      <w:marBottom w:val="0"/>
      <w:divBdr>
        <w:top w:val="none" w:sz="0" w:space="0" w:color="auto"/>
        <w:left w:val="none" w:sz="0" w:space="0" w:color="auto"/>
        <w:bottom w:val="none" w:sz="0" w:space="0" w:color="auto"/>
        <w:right w:val="none" w:sz="0" w:space="0" w:color="auto"/>
      </w:divBdr>
    </w:div>
    <w:div w:id="1340961347">
      <w:bodyDiv w:val="1"/>
      <w:marLeft w:val="0"/>
      <w:marRight w:val="0"/>
      <w:marTop w:val="0"/>
      <w:marBottom w:val="0"/>
      <w:divBdr>
        <w:top w:val="none" w:sz="0" w:space="0" w:color="auto"/>
        <w:left w:val="none" w:sz="0" w:space="0" w:color="auto"/>
        <w:bottom w:val="none" w:sz="0" w:space="0" w:color="auto"/>
        <w:right w:val="none" w:sz="0" w:space="0" w:color="auto"/>
      </w:divBdr>
    </w:div>
    <w:div w:id="1343777802">
      <w:bodyDiv w:val="1"/>
      <w:marLeft w:val="0"/>
      <w:marRight w:val="0"/>
      <w:marTop w:val="0"/>
      <w:marBottom w:val="0"/>
      <w:divBdr>
        <w:top w:val="none" w:sz="0" w:space="0" w:color="auto"/>
        <w:left w:val="none" w:sz="0" w:space="0" w:color="auto"/>
        <w:bottom w:val="none" w:sz="0" w:space="0" w:color="auto"/>
        <w:right w:val="none" w:sz="0" w:space="0" w:color="auto"/>
      </w:divBdr>
    </w:div>
    <w:div w:id="1356082057">
      <w:bodyDiv w:val="1"/>
      <w:marLeft w:val="0"/>
      <w:marRight w:val="0"/>
      <w:marTop w:val="0"/>
      <w:marBottom w:val="0"/>
      <w:divBdr>
        <w:top w:val="none" w:sz="0" w:space="0" w:color="auto"/>
        <w:left w:val="none" w:sz="0" w:space="0" w:color="auto"/>
        <w:bottom w:val="none" w:sz="0" w:space="0" w:color="auto"/>
        <w:right w:val="none" w:sz="0" w:space="0" w:color="auto"/>
      </w:divBdr>
    </w:div>
    <w:div w:id="1391071001">
      <w:bodyDiv w:val="1"/>
      <w:marLeft w:val="0"/>
      <w:marRight w:val="0"/>
      <w:marTop w:val="0"/>
      <w:marBottom w:val="0"/>
      <w:divBdr>
        <w:top w:val="none" w:sz="0" w:space="0" w:color="auto"/>
        <w:left w:val="none" w:sz="0" w:space="0" w:color="auto"/>
        <w:bottom w:val="none" w:sz="0" w:space="0" w:color="auto"/>
        <w:right w:val="none" w:sz="0" w:space="0" w:color="auto"/>
      </w:divBdr>
      <w:divsChild>
        <w:div w:id="1416517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0247870">
      <w:bodyDiv w:val="1"/>
      <w:marLeft w:val="0"/>
      <w:marRight w:val="0"/>
      <w:marTop w:val="0"/>
      <w:marBottom w:val="0"/>
      <w:divBdr>
        <w:top w:val="none" w:sz="0" w:space="0" w:color="auto"/>
        <w:left w:val="none" w:sz="0" w:space="0" w:color="auto"/>
        <w:bottom w:val="none" w:sz="0" w:space="0" w:color="auto"/>
        <w:right w:val="none" w:sz="0" w:space="0" w:color="auto"/>
      </w:divBdr>
    </w:div>
    <w:div w:id="1458521666">
      <w:bodyDiv w:val="1"/>
      <w:marLeft w:val="0"/>
      <w:marRight w:val="0"/>
      <w:marTop w:val="0"/>
      <w:marBottom w:val="0"/>
      <w:divBdr>
        <w:top w:val="none" w:sz="0" w:space="0" w:color="auto"/>
        <w:left w:val="none" w:sz="0" w:space="0" w:color="auto"/>
        <w:bottom w:val="none" w:sz="0" w:space="0" w:color="auto"/>
        <w:right w:val="none" w:sz="0" w:space="0" w:color="auto"/>
      </w:divBdr>
    </w:div>
    <w:div w:id="1477918003">
      <w:bodyDiv w:val="1"/>
      <w:marLeft w:val="0"/>
      <w:marRight w:val="0"/>
      <w:marTop w:val="0"/>
      <w:marBottom w:val="0"/>
      <w:divBdr>
        <w:top w:val="none" w:sz="0" w:space="0" w:color="auto"/>
        <w:left w:val="none" w:sz="0" w:space="0" w:color="auto"/>
        <w:bottom w:val="none" w:sz="0" w:space="0" w:color="auto"/>
        <w:right w:val="none" w:sz="0" w:space="0" w:color="auto"/>
      </w:divBdr>
    </w:div>
    <w:div w:id="1539009698">
      <w:bodyDiv w:val="1"/>
      <w:marLeft w:val="0"/>
      <w:marRight w:val="0"/>
      <w:marTop w:val="0"/>
      <w:marBottom w:val="0"/>
      <w:divBdr>
        <w:top w:val="none" w:sz="0" w:space="0" w:color="auto"/>
        <w:left w:val="none" w:sz="0" w:space="0" w:color="auto"/>
        <w:bottom w:val="none" w:sz="0" w:space="0" w:color="auto"/>
        <w:right w:val="none" w:sz="0" w:space="0" w:color="auto"/>
      </w:divBdr>
    </w:div>
    <w:div w:id="1570575200">
      <w:bodyDiv w:val="1"/>
      <w:marLeft w:val="0"/>
      <w:marRight w:val="0"/>
      <w:marTop w:val="0"/>
      <w:marBottom w:val="0"/>
      <w:divBdr>
        <w:top w:val="none" w:sz="0" w:space="0" w:color="auto"/>
        <w:left w:val="none" w:sz="0" w:space="0" w:color="auto"/>
        <w:bottom w:val="none" w:sz="0" w:space="0" w:color="auto"/>
        <w:right w:val="none" w:sz="0" w:space="0" w:color="auto"/>
      </w:divBdr>
    </w:div>
    <w:div w:id="1595554148">
      <w:bodyDiv w:val="1"/>
      <w:marLeft w:val="0"/>
      <w:marRight w:val="0"/>
      <w:marTop w:val="0"/>
      <w:marBottom w:val="0"/>
      <w:divBdr>
        <w:top w:val="none" w:sz="0" w:space="0" w:color="auto"/>
        <w:left w:val="none" w:sz="0" w:space="0" w:color="auto"/>
        <w:bottom w:val="none" w:sz="0" w:space="0" w:color="auto"/>
        <w:right w:val="none" w:sz="0" w:space="0" w:color="auto"/>
      </w:divBdr>
    </w:div>
    <w:div w:id="1606503657">
      <w:bodyDiv w:val="1"/>
      <w:marLeft w:val="0"/>
      <w:marRight w:val="0"/>
      <w:marTop w:val="0"/>
      <w:marBottom w:val="0"/>
      <w:divBdr>
        <w:top w:val="none" w:sz="0" w:space="0" w:color="auto"/>
        <w:left w:val="none" w:sz="0" w:space="0" w:color="auto"/>
        <w:bottom w:val="none" w:sz="0" w:space="0" w:color="auto"/>
        <w:right w:val="none" w:sz="0" w:space="0" w:color="auto"/>
      </w:divBdr>
    </w:div>
    <w:div w:id="1608198686">
      <w:bodyDiv w:val="1"/>
      <w:marLeft w:val="0"/>
      <w:marRight w:val="0"/>
      <w:marTop w:val="0"/>
      <w:marBottom w:val="0"/>
      <w:divBdr>
        <w:top w:val="none" w:sz="0" w:space="0" w:color="auto"/>
        <w:left w:val="none" w:sz="0" w:space="0" w:color="auto"/>
        <w:bottom w:val="none" w:sz="0" w:space="0" w:color="auto"/>
        <w:right w:val="none" w:sz="0" w:space="0" w:color="auto"/>
      </w:divBdr>
      <w:divsChild>
        <w:div w:id="191459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589237">
      <w:bodyDiv w:val="1"/>
      <w:marLeft w:val="0"/>
      <w:marRight w:val="0"/>
      <w:marTop w:val="0"/>
      <w:marBottom w:val="0"/>
      <w:divBdr>
        <w:top w:val="none" w:sz="0" w:space="0" w:color="auto"/>
        <w:left w:val="none" w:sz="0" w:space="0" w:color="auto"/>
        <w:bottom w:val="none" w:sz="0" w:space="0" w:color="auto"/>
        <w:right w:val="none" w:sz="0" w:space="0" w:color="auto"/>
      </w:divBdr>
    </w:div>
    <w:div w:id="1695374866">
      <w:bodyDiv w:val="1"/>
      <w:marLeft w:val="0"/>
      <w:marRight w:val="0"/>
      <w:marTop w:val="0"/>
      <w:marBottom w:val="0"/>
      <w:divBdr>
        <w:top w:val="none" w:sz="0" w:space="0" w:color="auto"/>
        <w:left w:val="none" w:sz="0" w:space="0" w:color="auto"/>
        <w:bottom w:val="none" w:sz="0" w:space="0" w:color="auto"/>
        <w:right w:val="none" w:sz="0" w:space="0" w:color="auto"/>
      </w:divBdr>
    </w:div>
    <w:div w:id="1715081617">
      <w:bodyDiv w:val="1"/>
      <w:marLeft w:val="0"/>
      <w:marRight w:val="0"/>
      <w:marTop w:val="0"/>
      <w:marBottom w:val="0"/>
      <w:divBdr>
        <w:top w:val="none" w:sz="0" w:space="0" w:color="auto"/>
        <w:left w:val="none" w:sz="0" w:space="0" w:color="auto"/>
        <w:bottom w:val="none" w:sz="0" w:space="0" w:color="auto"/>
        <w:right w:val="none" w:sz="0" w:space="0" w:color="auto"/>
      </w:divBdr>
    </w:div>
    <w:div w:id="1758280931">
      <w:bodyDiv w:val="1"/>
      <w:marLeft w:val="0"/>
      <w:marRight w:val="0"/>
      <w:marTop w:val="0"/>
      <w:marBottom w:val="0"/>
      <w:divBdr>
        <w:top w:val="none" w:sz="0" w:space="0" w:color="auto"/>
        <w:left w:val="none" w:sz="0" w:space="0" w:color="auto"/>
        <w:bottom w:val="none" w:sz="0" w:space="0" w:color="auto"/>
        <w:right w:val="none" w:sz="0" w:space="0" w:color="auto"/>
      </w:divBdr>
    </w:div>
    <w:div w:id="1758674853">
      <w:bodyDiv w:val="1"/>
      <w:marLeft w:val="0"/>
      <w:marRight w:val="0"/>
      <w:marTop w:val="0"/>
      <w:marBottom w:val="0"/>
      <w:divBdr>
        <w:top w:val="none" w:sz="0" w:space="0" w:color="auto"/>
        <w:left w:val="none" w:sz="0" w:space="0" w:color="auto"/>
        <w:bottom w:val="none" w:sz="0" w:space="0" w:color="auto"/>
        <w:right w:val="none" w:sz="0" w:space="0" w:color="auto"/>
      </w:divBdr>
    </w:div>
    <w:div w:id="1772430887">
      <w:bodyDiv w:val="1"/>
      <w:marLeft w:val="0"/>
      <w:marRight w:val="0"/>
      <w:marTop w:val="0"/>
      <w:marBottom w:val="0"/>
      <w:divBdr>
        <w:top w:val="none" w:sz="0" w:space="0" w:color="auto"/>
        <w:left w:val="none" w:sz="0" w:space="0" w:color="auto"/>
        <w:bottom w:val="none" w:sz="0" w:space="0" w:color="auto"/>
        <w:right w:val="none" w:sz="0" w:space="0" w:color="auto"/>
      </w:divBdr>
    </w:div>
    <w:div w:id="1817261300">
      <w:bodyDiv w:val="1"/>
      <w:marLeft w:val="0"/>
      <w:marRight w:val="0"/>
      <w:marTop w:val="0"/>
      <w:marBottom w:val="0"/>
      <w:divBdr>
        <w:top w:val="none" w:sz="0" w:space="0" w:color="auto"/>
        <w:left w:val="none" w:sz="0" w:space="0" w:color="auto"/>
        <w:bottom w:val="none" w:sz="0" w:space="0" w:color="auto"/>
        <w:right w:val="none" w:sz="0" w:space="0" w:color="auto"/>
      </w:divBdr>
    </w:div>
    <w:div w:id="1838496239">
      <w:bodyDiv w:val="1"/>
      <w:marLeft w:val="0"/>
      <w:marRight w:val="0"/>
      <w:marTop w:val="0"/>
      <w:marBottom w:val="0"/>
      <w:divBdr>
        <w:top w:val="none" w:sz="0" w:space="0" w:color="auto"/>
        <w:left w:val="none" w:sz="0" w:space="0" w:color="auto"/>
        <w:bottom w:val="none" w:sz="0" w:space="0" w:color="auto"/>
        <w:right w:val="none" w:sz="0" w:space="0" w:color="auto"/>
      </w:divBdr>
    </w:div>
    <w:div w:id="1858612393">
      <w:bodyDiv w:val="1"/>
      <w:marLeft w:val="0"/>
      <w:marRight w:val="0"/>
      <w:marTop w:val="0"/>
      <w:marBottom w:val="0"/>
      <w:divBdr>
        <w:top w:val="none" w:sz="0" w:space="0" w:color="auto"/>
        <w:left w:val="none" w:sz="0" w:space="0" w:color="auto"/>
        <w:bottom w:val="none" w:sz="0" w:space="0" w:color="auto"/>
        <w:right w:val="none" w:sz="0" w:space="0" w:color="auto"/>
      </w:divBdr>
    </w:div>
    <w:div w:id="1858612397">
      <w:bodyDiv w:val="1"/>
      <w:marLeft w:val="0"/>
      <w:marRight w:val="0"/>
      <w:marTop w:val="0"/>
      <w:marBottom w:val="0"/>
      <w:divBdr>
        <w:top w:val="none" w:sz="0" w:space="0" w:color="auto"/>
        <w:left w:val="none" w:sz="0" w:space="0" w:color="auto"/>
        <w:bottom w:val="none" w:sz="0" w:space="0" w:color="auto"/>
        <w:right w:val="none" w:sz="0" w:space="0" w:color="auto"/>
      </w:divBdr>
    </w:div>
    <w:div w:id="1859544654">
      <w:bodyDiv w:val="1"/>
      <w:marLeft w:val="0"/>
      <w:marRight w:val="0"/>
      <w:marTop w:val="0"/>
      <w:marBottom w:val="0"/>
      <w:divBdr>
        <w:top w:val="none" w:sz="0" w:space="0" w:color="auto"/>
        <w:left w:val="none" w:sz="0" w:space="0" w:color="auto"/>
        <w:bottom w:val="none" w:sz="0" w:space="0" w:color="auto"/>
        <w:right w:val="none" w:sz="0" w:space="0" w:color="auto"/>
      </w:divBdr>
    </w:div>
    <w:div w:id="1868912465">
      <w:bodyDiv w:val="1"/>
      <w:marLeft w:val="0"/>
      <w:marRight w:val="0"/>
      <w:marTop w:val="0"/>
      <w:marBottom w:val="0"/>
      <w:divBdr>
        <w:top w:val="none" w:sz="0" w:space="0" w:color="auto"/>
        <w:left w:val="none" w:sz="0" w:space="0" w:color="auto"/>
        <w:bottom w:val="none" w:sz="0" w:space="0" w:color="auto"/>
        <w:right w:val="none" w:sz="0" w:space="0" w:color="auto"/>
      </w:divBdr>
    </w:div>
    <w:div w:id="1874805704">
      <w:bodyDiv w:val="1"/>
      <w:marLeft w:val="0"/>
      <w:marRight w:val="0"/>
      <w:marTop w:val="0"/>
      <w:marBottom w:val="0"/>
      <w:divBdr>
        <w:top w:val="none" w:sz="0" w:space="0" w:color="auto"/>
        <w:left w:val="none" w:sz="0" w:space="0" w:color="auto"/>
        <w:bottom w:val="none" w:sz="0" w:space="0" w:color="auto"/>
        <w:right w:val="none" w:sz="0" w:space="0" w:color="auto"/>
      </w:divBdr>
      <w:divsChild>
        <w:div w:id="208332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380503">
      <w:bodyDiv w:val="1"/>
      <w:marLeft w:val="0"/>
      <w:marRight w:val="0"/>
      <w:marTop w:val="0"/>
      <w:marBottom w:val="0"/>
      <w:divBdr>
        <w:top w:val="none" w:sz="0" w:space="0" w:color="auto"/>
        <w:left w:val="none" w:sz="0" w:space="0" w:color="auto"/>
        <w:bottom w:val="none" w:sz="0" w:space="0" w:color="auto"/>
        <w:right w:val="none" w:sz="0" w:space="0" w:color="auto"/>
      </w:divBdr>
    </w:div>
    <w:div w:id="1962492908">
      <w:bodyDiv w:val="1"/>
      <w:marLeft w:val="0"/>
      <w:marRight w:val="0"/>
      <w:marTop w:val="0"/>
      <w:marBottom w:val="0"/>
      <w:divBdr>
        <w:top w:val="none" w:sz="0" w:space="0" w:color="auto"/>
        <w:left w:val="none" w:sz="0" w:space="0" w:color="auto"/>
        <w:bottom w:val="none" w:sz="0" w:space="0" w:color="auto"/>
        <w:right w:val="none" w:sz="0" w:space="0" w:color="auto"/>
      </w:divBdr>
    </w:div>
    <w:div w:id="2001423068">
      <w:bodyDiv w:val="1"/>
      <w:marLeft w:val="0"/>
      <w:marRight w:val="0"/>
      <w:marTop w:val="0"/>
      <w:marBottom w:val="0"/>
      <w:divBdr>
        <w:top w:val="none" w:sz="0" w:space="0" w:color="auto"/>
        <w:left w:val="none" w:sz="0" w:space="0" w:color="auto"/>
        <w:bottom w:val="none" w:sz="0" w:space="0" w:color="auto"/>
        <w:right w:val="none" w:sz="0" w:space="0" w:color="auto"/>
      </w:divBdr>
    </w:div>
    <w:div w:id="2010449182">
      <w:bodyDiv w:val="1"/>
      <w:marLeft w:val="0"/>
      <w:marRight w:val="0"/>
      <w:marTop w:val="0"/>
      <w:marBottom w:val="0"/>
      <w:divBdr>
        <w:top w:val="none" w:sz="0" w:space="0" w:color="auto"/>
        <w:left w:val="none" w:sz="0" w:space="0" w:color="auto"/>
        <w:bottom w:val="none" w:sz="0" w:space="0" w:color="auto"/>
        <w:right w:val="none" w:sz="0" w:space="0" w:color="auto"/>
      </w:divBdr>
    </w:div>
    <w:div w:id="2043551220">
      <w:bodyDiv w:val="1"/>
      <w:marLeft w:val="0"/>
      <w:marRight w:val="0"/>
      <w:marTop w:val="0"/>
      <w:marBottom w:val="0"/>
      <w:divBdr>
        <w:top w:val="none" w:sz="0" w:space="0" w:color="auto"/>
        <w:left w:val="none" w:sz="0" w:space="0" w:color="auto"/>
        <w:bottom w:val="none" w:sz="0" w:space="0" w:color="auto"/>
        <w:right w:val="none" w:sz="0" w:space="0" w:color="auto"/>
      </w:divBdr>
    </w:div>
    <w:div w:id="212962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E94D9-8878-44DF-8A8A-F39E2B70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dc:creator>
  <cp:lastModifiedBy>cloudconvert_3</cp:lastModifiedBy>
  <cp:revision>1</cp:revision>
  <dcterms:created xsi:type="dcterms:W3CDTF">2025-12-13T12:12:00Z</dcterms:created>
  <dcterms:modified xsi:type="dcterms:W3CDTF">2025-12-15T06:14:00Z</dcterms:modified>
</cp:coreProperties>
</file>